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Vision-5</w:t>
      </w:r>
      <w:r w:rsidR="008C2096">
        <w:rPr>
          <w:rFonts w:ascii="Arial" w:hAnsi="Arial" w:cs="Arial"/>
          <w:b/>
          <w:color w:val="0070C0"/>
          <w:sz w:val="28"/>
          <w:szCs w:val="28"/>
          <w:lang w:val="fr-FR"/>
        </w:rPr>
        <w:t>2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float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float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La feuille intermédiaire est constituée d’un float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>constituée d’un float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Vision-5</w:t>
      </w:r>
      <w:r w:rsidR="008C2096">
        <w:rPr>
          <w:rFonts w:ascii="Arial" w:hAnsi="Arial" w:cs="Arial"/>
          <w:b/>
          <w:color w:val="0070C0"/>
          <w:sz w:val="24"/>
          <w:szCs w:val="24"/>
          <w:lang w:val="fr-FR"/>
        </w:rPr>
        <w:t>2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Vision-5</w:t>
      </w:r>
      <w:r w:rsidR="008C2096">
        <w:rPr>
          <w:rFonts w:ascii="Arial" w:hAnsi="Arial" w:cs="Arial"/>
          <w:color w:val="000000" w:themeColor="text1"/>
          <w:sz w:val="20"/>
          <w:szCs w:val="20"/>
          <w:lang w:val="fr-FR"/>
        </w:rPr>
        <w:t>2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Clearlite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>Top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Clearlite</w:t>
      </w:r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6054CD">
        <w:rPr>
          <w:rFonts w:ascii="Arial" w:hAnsi="Arial" w:cs="Arial"/>
          <w:sz w:val="20"/>
          <w:szCs w:val="20"/>
          <w:lang w:val="fr-FR"/>
        </w:rPr>
        <w:t>46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8C2096">
        <w:rPr>
          <w:rFonts w:ascii="Arial" w:hAnsi="Arial" w:cs="Arial"/>
          <w:sz w:val="20"/>
          <w:szCs w:val="20"/>
          <w:lang w:val="fr-FR"/>
        </w:rPr>
        <w:t>18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6054CD">
        <w:rPr>
          <w:rFonts w:ascii="Arial" w:hAnsi="Arial" w:cs="Arial"/>
          <w:sz w:val="20"/>
          <w:szCs w:val="20"/>
          <w:lang w:val="fr-FR"/>
        </w:rPr>
        <w:t>2</w:t>
      </w:r>
      <w:r w:rsidR="008C2096">
        <w:rPr>
          <w:rFonts w:ascii="Arial" w:hAnsi="Arial" w:cs="Arial"/>
          <w:sz w:val="20"/>
          <w:szCs w:val="20"/>
          <w:lang w:val="fr-FR"/>
        </w:rPr>
        <w:t>5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en-US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8C2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>Stopray Vision-5</w:t>
            </w:r>
            <w:r w:rsidR="008C20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 certifié</w:t>
            </w:r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 CradletoCradle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81" w:rsidRDefault="00DE5A81" w:rsidP="008F0868">
      <w:pPr>
        <w:spacing w:after="0" w:line="240" w:lineRule="auto"/>
      </w:pPr>
      <w:r>
        <w:separator/>
      </w:r>
    </w:p>
  </w:endnote>
  <w:end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6" w:rsidRDefault="008C2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en-US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6" w:rsidRDefault="008C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81" w:rsidRDefault="008C2096" w:rsidP="008F0868">
      <w:pPr>
        <w:spacing w:after="0" w:line="240" w:lineRule="auto"/>
      </w:pPr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SIPCM3c8142aca338042a0a981f2c" o:spid="_x0000_s4097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wrap-style:square;mso-position-horizontal:absolute;mso-position-horizontal-relative:page;mso-position-vertical:absolute;mso-position-vertical-relative:page;v-text-anchor:top" o:allowincell="f" filled="f" stroked="f">
            <v:textbox inset=",0,,0">
              <w:txbxContent>
                <w:p w:rsidR="008C2096" w:rsidRPr="008C2096" w:rsidRDefault="008C2096" w:rsidP="008C2096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8C2096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AGC Internal Use Only. </w:t>
                  </w:r>
                </w:p>
              </w:txbxContent>
            </v:textbox>
          </v:shape>
        </w:pict>
      </w:r>
      <w:r w:rsidR="00DE5A81">
        <w:separator/>
      </w:r>
    </w:p>
  </w:footnote>
  <w:foot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6" w:rsidRDefault="008C2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en-US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96" w:rsidRDefault="008C2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C2096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168</cp:revision>
  <cp:lastPrinted>2016-09-09T06:55:00Z</cp:lastPrinted>
  <dcterms:created xsi:type="dcterms:W3CDTF">2017-02-03T08:52:00Z</dcterms:created>
  <dcterms:modified xsi:type="dcterms:W3CDTF">2020-03-17T11:14:00Z</dcterms:modified>
  <cp:category>anv/rf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Denis.Janssens@eu.agc.com</vt:lpwstr>
  </property>
  <property fmtid="{D5CDD505-2E9C-101B-9397-08002B2CF9AE}" pid="5" name="MSIP_Label_05f2eb32-1734-49e1-8398-a303cd34c189_SetDate">
    <vt:lpwstr>2020-03-17T11:14:42.2344048Z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