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CEE" w:rsidRPr="002A2469" w:rsidRDefault="00F75CEE" w:rsidP="000C18DD">
      <w:pPr>
        <w:spacing w:after="240"/>
        <w:rPr>
          <w:rFonts w:ascii="Arial" w:hAnsi="Arial" w:cs="Arial"/>
          <w:noProof/>
          <w:sz w:val="24"/>
          <w:szCs w:val="24"/>
          <w:lang w:val="fr-FR"/>
        </w:rPr>
        <w:sectPr w:rsidR="00F75CEE" w:rsidRPr="002A2469" w:rsidSect="000C18DD">
          <w:headerReference w:type="default" r:id="rId7"/>
          <w:footerReference w:type="default" r:id="rId8"/>
          <w:pgSz w:w="11906" w:h="16838"/>
          <w:pgMar w:top="284" w:right="284" w:bottom="851" w:left="284" w:header="284" w:footer="567" w:gutter="0"/>
          <w:cols w:space="708"/>
          <w:docGrid w:linePitch="360"/>
        </w:sectPr>
      </w:pPr>
    </w:p>
    <w:p w:rsidR="00D76518" w:rsidRPr="002A2469" w:rsidRDefault="00095F93" w:rsidP="00F05ABC">
      <w:pPr>
        <w:pStyle w:val="NoSpacing"/>
        <w:rPr>
          <w:rFonts w:ascii="Arial" w:hAnsi="Arial" w:cs="Arial"/>
          <w:b/>
          <w:noProof/>
          <w:color w:val="0070C0"/>
          <w:sz w:val="28"/>
          <w:szCs w:val="28"/>
          <w:lang w:val="fr-FR"/>
        </w:rPr>
      </w:pPr>
      <w:r w:rsidRPr="000D7595">
        <w:rPr>
          <w:rFonts w:ascii="Arial" w:hAnsi="Arial" w:cs="Arial"/>
          <w:b/>
          <w:sz w:val="28"/>
          <w:szCs w:val="28"/>
          <w:lang w:val="fr-FR"/>
        </w:rPr>
        <w:t>Descripti</w:t>
      </w:r>
      <w:r w:rsidR="00D10CB3">
        <w:rPr>
          <w:rFonts w:ascii="Arial" w:hAnsi="Arial" w:cs="Arial"/>
          <w:b/>
          <w:sz w:val="28"/>
          <w:szCs w:val="28"/>
          <w:lang w:val="fr-FR"/>
        </w:rPr>
        <w:t xml:space="preserve">f pour cahier </w:t>
      </w:r>
      <w:r w:rsidRPr="000D7595">
        <w:rPr>
          <w:rFonts w:ascii="Arial" w:hAnsi="Arial" w:cs="Arial"/>
          <w:b/>
          <w:sz w:val="28"/>
          <w:szCs w:val="28"/>
          <w:lang w:val="fr-FR"/>
        </w:rPr>
        <w:t>des charges</w:t>
      </w:r>
      <w:r w:rsidR="00F05ABC" w:rsidRPr="002A2469">
        <w:rPr>
          <w:rFonts w:ascii="Arial" w:hAnsi="Arial" w:cs="Arial"/>
          <w:b/>
          <w:noProof/>
          <w:sz w:val="28"/>
          <w:szCs w:val="28"/>
          <w:lang w:val="fr-FR"/>
        </w:rPr>
        <w:t xml:space="preserve"> </w:t>
      </w:r>
      <w:r w:rsidR="00BD3788" w:rsidRPr="002A2469">
        <w:rPr>
          <w:rFonts w:ascii="Arial" w:hAnsi="Arial" w:cs="Arial"/>
          <w:b/>
          <w:noProof/>
          <w:sz w:val="28"/>
          <w:szCs w:val="28"/>
          <w:lang w:val="fr-FR"/>
        </w:rPr>
        <w:t>–</w:t>
      </w:r>
      <w:r w:rsidR="00F05ABC" w:rsidRPr="002A2469">
        <w:rPr>
          <w:rFonts w:ascii="Arial" w:hAnsi="Arial" w:cs="Arial"/>
          <w:b/>
          <w:noProof/>
          <w:sz w:val="28"/>
          <w:szCs w:val="28"/>
          <w:lang w:val="fr-FR"/>
        </w:rPr>
        <w:t xml:space="preserve"> </w:t>
      </w:r>
      <w:r w:rsidR="00F05ABC" w:rsidRPr="002A2469">
        <w:rPr>
          <w:rFonts w:ascii="Arial" w:hAnsi="Arial" w:cs="Arial"/>
          <w:b/>
          <w:noProof/>
          <w:color w:val="0070C0"/>
          <w:sz w:val="28"/>
          <w:szCs w:val="28"/>
          <w:lang w:val="fr-FR"/>
        </w:rPr>
        <w:t>T</w:t>
      </w:r>
      <w:r w:rsidR="00BD3788" w:rsidRPr="002A2469">
        <w:rPr>
          <w:rFonts w:ascii="Arial" w:hAnsi="Arial" w:cs="Arial"/>
          <w:b/>
          <w:noProof/>
          <w:color w:val="0070C0"/>
          <w:sz w:val="28"/>
          <w:szCs w:val="28"/>
          <w:lang w:val="fr-FR"/>
        </w:rPr>
        <w:t xml:space="preserve">hermobel </w:t>
      </w:r>
      <w:r w:rsidR="00D76518" w:rsidRPr="002A2469">
        <w:rPr>
          <w:rFonts w:ascii="Arial" w:hAnsi="Arial" w:cs="Arial"/>
          <w:b/>
          <w:noProof/>
          <w:color w:val="0070C0"/>
          <w:sz w:val="28"/>
          <w:szCs w:val="28"/>
          <w:lang w:val="fr-FR"/>
        </w:rPr>
        <w:t xml:space="preserve">TG </w:t>
      </w:r>
      <w:r w:rsidR="005C7880">
        <w:rPr>
          <w:rFonts w:ascii="Arial" w:hAnsi="Arial" w:cs="Arial"/>
          <w:b/>
          <w:noProof/>
          <w:color w:val="0070C0"/>
          <w:sz w:val="28"/>
          <w:szCs w:val="28"/>
          <w:lang w:val="fr-FR"/>
        </w:rPr>
        <w:t>Advanced</w:t>
      </w:r>
      <w:r w:rsidR="00770D80" w:rsidRPr="002A2469">
        <w:rPr>
          <w:rFonts w:ascii="Arial" w:hAnsi="Arial" w:cs="Arial"/>
          <w:b/>
          <w:noProof/>
          <w:color w:val="0070C0"/>
          <w:sz w:val="28"/>
          <w:szCs w:val="28"/>
          <w:lang w:val="fr-FR"/>
        </w:rPr>
        <w:t xml:space="preserve"> (</w:t>
      </w:r>
      <w:r>
        <w:rPr>
          <w:rFonts w:ascii="Arial" w:hAnsi="Arial" w:cs="Arial"/>
          <w:b/>
          <w:noProof/>
          <w:color w:val="0070C0"/>
          <w:sz w:val="28"/>
          <w:szCs w:val="28"/>
          <w:lang w:val="fr-FR"/>
        </w:rPr>
        <w:t>v</w:t>
      </w:r>
      <w:r w:rsidR="00D10CB3">
        <w:rPr>
          <w:rFonts w:ascii="Arial" w:hAnsi="Arial" w:cs="Arial"/>
          <w:b/>
          <w:noProof/>
          <w:color w:val="0070C0"/>
          <w:sz w:val="28"/>
          <w:szCs w:val="28"/>
          <w:lang w:val="fr-FR"/>
        </w:rPr>
        <w:t>erre</w:t>
      </w:r>
      <w:r>
        <w:rPr>
          <w:rFonts w:ascii="Arial" w:hAnsi="Arial" w:cs="Arial"/>
          <w:b/>
          <w:noProof/>
          <w:color w:val="0070C0"/>
          <w:sz w:val="28"/>
          <w:szCs w:val="28"/>
          <w:lang w:val="fr-FR"/>
        </w:rPr>
        <w:t xml:space="preserve"> intérieur feuilleté</w:t>
      </w:r>
      <w:r w:rsidR="00770D80" w:rsidRPr="002A2469">
        <w:rPr>
          <w:rFonts w:ascii="Arial" w:hAnsi="Arial" w:cs="Arial"/>
          <w:b/>
          <w:noProof/>
          <w:color w:val="0070C0"/>
          <w:sz w:val="28"/>
          <w:szCs w:val="28"/>
          <w:lang w:val="fr-FR"/>
        </w:rPr>
        <w:t>)</w:t>
      </w:r>
    </w:p>
    <w:p w:rsidR="00650BDE" w:rsidRPr="002A2469" w:rsidRDefault="00650BDE" w:rsidP="00F05ABC">
      <w:pPr>
        <w:pStyle w:val="NoSpacing"/>
        <w:rPr>
          <w:rFonts w:ascii="Arial" w:hAnsi="Arial" w:cs="Arial"/>
          <w:b/>
          <w:noProof/>
          <w:color w:val="0070C0"/>
          <w:sz w:val="20"/>
          <w:szCs w:val="20"/>
          <w:lang w:val="fr-FR"/>
        </w:rPr>
      </w:pPr>
    </w:p>
    <w:p w:rsidR="00EB5FB7" w:rsidRPr="008F624B" w:rsidRDefault="000B54D6" w:rsidP="00031942">
      <w:pPr>
        <w:pStyle w:val="NoSpacing"/>
        <w:rPr>
          <w:rFonts w:ascii="Arial" w:eastAsiaTheme="minorHAnsi" w:hAnsi="Arial" w:cs="Arial"/>
          <w:noProof/>
          <w:sz w:val="20"/>
          <w:szCs w:val="20"/>
          <w:lang w:val="fr-FR" w:eastAsia="en-US"/>
        </w:rPr>
      </w:pPr>
      <w:r w:rsidRPr="008F624B">
        <w:rPr>
          <w:rFonts w:ascii="Arial" w:hAnsi="Arial" w:cs="Arial"/>
          <w:sz w:val="20"/>
          <w:szCs w:val="20"/>
          <w:lang w:val="fr-FR"/>
        </w:rPr>
        <w:t xml:space="preserve">Triple vitrage à isolation thermique renforcée, constitué de deux feuilles de </w:t>
      </w:r>
      <w:proofErr w:type="spellStart"/>
      <w:r w:rsidRPr="008F624B">
        <w:rPr>
          <w:rFonts w:ascii="Arial" w:hAnsi="Arial" w:cs="Arial"/>
          <w:sz w:val="20"/>
          <w:szCs w:val="20"/>
          <w:lang w:val="fr-FR"/>
        </w:rPr>
        <w:t>float</w:t>
      </w:r>
      <w:proofErr w:type="spellEnd"/>
      <w:r w:rsidRPr="008F624B">
        <w:rPr>
          <w:rFonts w:ascii="Arial" w:hAnsi="Arial" w:cs="Arial"/>
          <w:sz w:val="20"/>
          <w:szCs w:val="20"/>
          <w:lang w:val="fr-FR"/>
        </w:rPr>
        <w:t xml:space="preserve"> séparées l’une de l’autre par un cadre métallique creux rempli d’un agent dessiccatif. L’ensemble est solidarisé par un double joint élastique, qui confère sa solidité à l’unité isolante et lui garantit une fermeture hermétique</w:t>
      </w:r>
      <w:r w:rsidR="0074439F" w:rsidRPr="008F624B">
        <w:rPr>
          <w:rFonts w:ascii="Arial" w:eastAsiaTheme="minorHAnsi" w:hAnsi="Arial" w:cs="Arial"/>
          <w:noProof/>
          <w:sz w:val="20"/>
          <w:szCs w:val="20"/>
          <w:lang w:val="fr-FR" w:eastAsia="en-US"/>
        </w:rPr>
        <w:t>.</w:t>
      </w:r>
    </w:p>
    <w:p w:rsidR="0074439F" w:rsidRPr="008F624B" w:rsidRDefault="0074439F" w:rsidP="00031942">
      <w:pPr>
        <w:pStyle w:val="NoSpacing"/>
        <w:rPr>
          <w:rFonts w:ascii="Arial" w:hAnsi="Arial" w:cs="Arial"/>
          <w:noProof/>
          <w:sz w:val="20"/>
          <w:szCs w:val="20"/>
          <w:lang w:val="fr-FR"/>
        </w:rPr>
      </w:pPr>
    </w:p>
    <w:p w:rsidR="0074439F" w:rsidRPr="008F624B" w:rsidRDefault="00364C21" w:rsidP="00EB5FB7">
      <w:pPr>
        <w:pStyle w:val="NoSpacing"/>
        <w:rPr>
          <w:rFonts w:ascii="Arial" w:hAnsi="Arial" w:cs="Arial"/>
          <w:noProof/>
          <w:sz w:val="20"/>
          <w:szCs w:val="20"/>
          <w:lang w:val="fr-FR"/>
        </w:rPr>
      </w:pPr>
      <w:r w:rsidRPr="008F624B">
        <w:rPr>
          <w:rFonts w:ascii="Arial" w:hAnsi="Arial" w:cs="Arial"/>
          <w:noProof/>
          <w:sz w:val="20"/>
          <w:szCs w:val="20"/>
          <w:lang w:val="fr-FR"/>
        </w:rPr>
        <w:t>Le verre extérieur est constitué d’un float clair d’une épaisseur minimale de 4 mm</w:t>
      </w:r>
      <w:r w:rsidR="001D0B05" w:rsidRPr="008F624B">
        <w:rPr>
          <w:rFonts w:ascii="Arial" w:hAnsi="Arial" w:cs="Arial"/>
          <w:noProof/>
          <w:sz w:val="20"/>
          <w:szCs w:val="20"/>
          <w:lang w:val="fr-FR"/>
        </w:rPr>
        <w:t xml:space="preserve">. </w:t>
      </w:r>
      <w:r w:rsidRPr="008F624B">
        <w:rPr>
          <w:rFonts w:ascii="Arial" w:hAnsi="Arial" w:cs="Arial"/>
          <w:noProof/>
          <w:sz w:val="20"/>
          <w:szCs w:val="20"/>
          <w:lang w:val="fr-FR"/>
        </w:rPr>
        <w:t>En position </w:t>
      </w:r>
      <w:r w:rsidR="001D0B05" w:rsidRPr="008F624B">
        <w:rPr>
          <w:rFonts w:ascii="Arial" w:hAnsi="Arial" w:cs="Arial"/>
          <w:noProof/>
          <w:sz w:val="20"/>
          <w:szCs w:val="20"/>
          <w:lang w:val="fr-FR"/>
        </w:rPr>
        <w:t>2</w:t>
      </w:r>
      <w:r w:rsidRPr="008F624B">
        <w:rPr>
          <w:rFonts w:ascii="Arial" w:hAnsi="Arial" w:cs="Arial"/>
          <w:noProof/>
          <w:sz w:val="20"/>
          <w:szCs w:val="20"/>
          <w:lang w:val="fr-FR"/>
        </w:rPr>
        <w:t xml:space="preserve">, il est pourvu </w:t>
      </w:r>
      <w:r w:rsidR="001F1722" w:rsidRPr="008F624B">
        <w:rPr>
          <w:rFonts w:ascii="Arial" w:hAnsi="Arial" w:cs="Arial"/>
          <w:sz w:val="20"/>
          <w:szCs w:val="20"/>
          <w:lang w:val="fr-FR"/>
        </w:rPr>
        <w:t xml:space="preserve">fine couche de métal noble, </w:t>
      </w:r>
      <w:r w:rsidR="002B59CF" w:rsidRPr="008F624B">
        <w:rPr>
          <w:rFonts w:ascii="Arial" w:hAnsi="Arial" w:cs="Arial"/>
          <w:sz w:val="20"/>
          <w:szCs w:val="20"/>
          <w:lang w:val="fr-FR"/>
        </w:rPr>
        <w:t>déposée</w:t>
      </w:r>
      <w:r w:rsidR="001F1722" w:rsidRPr="008F624B">
        <w:rPr>
          <w:rFonts w:ascii="Arial" w:hAnsi="Arial" w:cs="Arial"/>
          <w:sz w:val="20"/>
          <w:szCs w:val="20"/>
          <w:lang w:val="fr-FR"/>
        </w:rPr>
        <w:t xml:space="preserve"> au moyen du procédé de la pulvérisation cathodique</w:t>
      </w:r>
      <w:r w:rsidR="002B59CF" w:rsidRPr="008F624B">
        <w:rPr>
          <w:rFonts w:ascii="Arial" w:hAnsi="Arial" w:cs="Arial"/>
          <w:sz w:val="20"/>
          <w:szCs w:val="20"/>
          <w:lang w:val="fr-FR"/>
        </w:rPr>
        <w:t xml:space="preserve"> sous vide</w:t>
      </w:r>
      <w:r w:rsidR="001D0B05" w:rsidRPr="008F624B">
        <w:rPr>
          <w:rFonts w:ascii="Arial" w:hAnsi="Arial" w:cs="Arial"/>
          <w:noProof/>
          <w:sz w:val="20"/>
          <w:szCs w:val="20"/>
          <w:lang w:val="fr-FR"/>
        </w:rPr>
        <w:t xml:space="preserve">.  </w:t>
      </w:r>
    </w:p>
    <w:p w:rsidR="001D0B05" w:rsidRPr="008F624B" w:rsidRDefault="001D0B05" w:rsidP="00EB5FB7">
      <w:pPr>
        <w:pStyle w:val="NoSpacing"/>
        <w:rPr>
          <w:rFonts w:ascii="Arial" w:hAnsi="Arial" w:cs="Arial"/>
          <w:noProof/>
          <w:sz w:val="20"/>
          <w:szCs w:val="20"/>
          <w:lang w:val="fr-FR"/>
        </w:rPr>
      </w:pPr>
    </w:p>
    <w:p w:rsidR="0074439F" w:rsidRPr="008F624B" w:rsidRDefault="002C5E77" w:rsidP="00EB5FB7">
      <w:pPr>
        <w:pStyle w:val="NoSpacing"/>
        <w:rPr>
          <w:rFonts w:ascii="Arial" w:eastAsiaTheme="minorHAnsi" w:hAnsi="Arial" w:cs="Arial"/>
          <w:noProof/>
          <w:sz w:val="20"/>
          <w:szCs w:val="20"/>
          <w:lang w:val="fr-FR" w:eastAsia="en-US"/>
        </w:rPr>
      </w:pPr>
      <w:r w:rsidRPr="008F624B">
        <w:rPr>
          <w:rFonts w:ascii="Arial" w:eastAsiaTheme="minorHAnsi" w:hAnsi="Arial" w:cs="Arial"/>
          <w:noProof/>
          <w:sz w:val="20"/>
          <w:szCs w:val="20"/>
          <w:lang w:val="fr-FR" w:eastAsia="en-US"/>
        </w:rPr>
        <w:t>Le verre central est constitué de float clair ou extra clair</w:t>
      </w:r>
      <w:r w:rsidR="006624F7" w:rsidRPr="008F624B">
        <w:rPr>
          <w:rFonts w:ascii="Arial" w:eastAsiaTheme="minorHAnsi" w:hAnsi="Arial" w:cs="Arial"/>
          <w:noProof/>
          <w:sz w:val="20"/>
          <w:szCs w:val="20"/>
          <w:lang w:val="fr-FR" w:eastAsia="en-US"/>
        </w:rPr>
        <w:t>.</w:t>
      </w:r>
    </w:p>
    <w:p w:rsidR="006624F7" w:rsidRPr="008F624B" w:rsidRDefault="006624F7" w:rsidP="00EB5FB7">
      <w:pPr>
        <w:pStyle w:val="NoSpacing"/>
        <w:rPr>
          <w:rFonts w:ascii="Arial" w:hAnsi="Arial" w:cs="Arial"/>
          <w:noProof/>
          <w:sz w:val="20"/>
          <w:szCs w:val="20"/>
          <w:lang w:val="fr-FR"/>
        </w:rPr>
      </w:pPr>
      <w:bookmarkStart w:id="0" w:name="_GoBack"/>
      <w:bookmarkEnd w:id="0"/>
    </w:p>
    <w:p w:rsidR="00EB5FB7" w:rsidRPr="008F624B" w:rsidRDefault="00053D07" w:rsidP="00EB5FB7">
      <w:pPr>
        <w:pStyle w:val="NoSpacing"/>
        <w:rPr>
          <w:rFonts w:ascii="Arial" w:hAnsi="Arial" w:cs="Arial"/>
          <w:noProof/>
          <w:sz w:val="20"/>
          <w:szCs w:val="20"/>
          <w:lang w:val="fr-FR"/>
        </w:rPr>
      </w:pPr>
      <w:r w:rsidRPr="008F624B">
        <w:rPr>
          <w:rFonts w:ascii="Arial" w:hAnsi="Arial" w:cs="Arial"/>
          <w:noProof/>
          <w:sz w:val="20"/>
          <w:szCs w:val="20"/>
          <w:lang w:val="fr-FR"/>
        </w:rPr>
        <w:t>Le verre intérieur feuilleté</w:t>
      </w:r>
      <w:r w:rsidR="00836718" w:rsidRPr="008F624B">
        <w:rPr>
          <w:rFonts w:ascii="Arial" w:hAnsi="Arial" w:cs="Arial"/>
          <w:noProof/>
          <w:sz w:val="20"/>
          <w:szCs w:val="20"/>
          <w:lang w:val="fr-FR"/>
        </w:rPr>
        <w:t xml:space="preserve"> (Stratobel) </w:t>
      </w:r>
      <w:r w:rsidR="00356B45" w:rsidRPr="008F624B">
        <w:rPr>
          <w:rFonts w:ascii="Arial" w:hAnsi="Arial" w:cs="Arial"/>
          <w:noProof/>
          <w:sz w:val="20"/>
          <w:szCs w:val="20"/>
          <w:lang w:val="fr-FR"/>
        </w:rPr>
        <w:t xml:space="preserve">est </w:t>
      </w:r>
      <w:r w:rsidR="00836718" w:rsidRPr="008F624B">
        <w:rPr>
          <w:rFonts w:ascii="Arial" w:hAnsi="Arial" w:cs="Arial"/>
          <w:noProof/>
          <w:sz w:val="20"/>
          <w:szCs w:val="20"/>
          <w:lang w:val="fr-FR"/>
        </w:rPr>
        <w:t xml:space="preserve"> </w:t>
      </w:r>
      <w:r w:rsidR="00762936" w:rsidRPr="008F624B">
        <w:rPr>
          <w:rFonts w:ascii="Arial" w:hAnsi="Arial" w:cs="Arial"/>
          <w:sz w:val="20"/>
          <w:szCs w:val="20"/>
          <w:lang w:val="fr-FR"/>
        </w:rPr>
        <w:t xml:space="preserve">constitué de deux feuilles en </w:t>
      </w:r>
      <w:proofErr w:type="spellStart"/>
      <w:r w:rsidR="00762936" w:rsidRPr="008F624B">
        <w:rPr>
          <w:rFonts w:ascii="Arial" w:hAnsi="Arial" w:cs="Arial"/>
          <w:sz w:val="20"/>
          <w:szCs w:val="20"/>
          <w:lang w:val="fr-FR"/>
        </w:rPr>
        <w:t>float</w:t>
      </w:r>
      <w:proofErr w:type="spellEnd"/>
      <w:r w:rsidR="00762936" w:rsidRPr="008F624B">
        <w:rPr>
          <w:rFonts w:ascii="Arial" w:hAnsi="Arial" w:cs="Arial"/>
          <w:sz w:val="20"/>
          <w:szCs w:val="20"/>
          <w:lang w:val="fr-FR"/>
        </w:rPr>
        <w:t xml:space="preserve"> clair d’une épaisseur minimale de 3 mm, réunies par une ou plusieurs couches intermédiaires de </w:t>
      </w:r>
      <w:proofErr w:type="spellStart"/>
      <w:r w:rsidR="00762936" w:rsidRPr="008F624B">
        <w:rPr>
          <w:rFonts w:ascii="Arial" w:hAnsi="Arial" w:cs="Arial"/>
          <w:color w:val="000000"/>
          <w:sz w:val="20"/>
          <w:szCs w:val="20"/>
          <w:lang w:val="fr-FR"/>
        </w:rPr>
        <w:t>polyvinylbutyral</w:t>
      </w:r>
      <w:proofErr w:type="spellEnd"/>
      <w:r w:rsidR="00762936" w:rsidRPr="008F624B">
        <w:rPr>
          <w:rFonts w:ascii="Arial" w:hAnsi="Arial" w:cs="Arial"/>
          <w:color w:val="000000"/>
          <w:sz w:val="20"/>
          <w:szCs w:val="20"/>
          <w:lang w:val="fr-FR"/>
        </w:rPr>
        <w:t xml:space="preserve"> synthétique </w:t>
      </w:r>
      <w:r w:rsidR="00762936" w:rsidRPr="008F624B">
        <w:rPr>
          <w:rFonts w:ascii="Arial" w:hAnsi="Arial" w:cs="Arial"/>
          <w:sz w:val="20"/>
          <w:szCs w:val="20"/>
          <w:lang w:val="fr-FR"/>
        </w:rPr>
        <w:t>(PVB</w:t>
      </w:r>
      <w:r w:rsidR="00836718" w:rsidRPr="008F624B">
        <w:rPr>
          <w:rFonts w:ascii="Arial" w:hAnsi="Arial" w:cs="Arial"/>
          <w:noProof/>
          <w:sz w:val="20"/>
          <w:szCs w:val="20"/>
          <w:lang w:val="fr-FR"/>
        </w:rPr>
        <w:t xml:space="preserve">). </w:t>
      </w:r>
      <w:r w:rsidR="004E1D4D" w:rsidRPr="008F624B">
        <w:rPr>
          <w:rFonts w:ascii="Arial" w:hAnsi="Arial" w:cs="Arial"/>
          <w:noProof/>
          <w:sz w:val="20"/>
          <w:szCs w:val="20"/>
          <w:lang w:val="fr-FR"/>
        </w:rPr>
        <w:t>En position </w:t>
      </w:r>
      <w:r w:rsidR="00836718" w:rsidRPr="008F624B">
        <w:rPr>
          <w:rFonts w:ascii="Arial" w:hAnsi="Arial" w:cs="Arial"/>
          <w:noProof/>
          <w:sz w:val="20"/>
          <w:szCs w:val="20"/>
          <w:lang w:val="fr-FR"/>
        </w:rPr>
        <w:t>5</w:t>
      </w:r>
      <w:r w:rsidR="004E1D4D" w:rsidRPr="008F624B">
        <w:rPr>
          <w:rFonts w:ascii="Arial" w:hAnsi="Arial" w:cs="Arial"/>
          <w:noProof/>
          <w:sz w:val="20"/>
          <w:szCs w:val="20"/>
          <w:lang w:val="fr-FR"/>
        </w:rPr>
        <w:t xml:space="preserve">, il est </w:t>
      </w:r>
      <w:r w:rsidR="00EF4D1B" w:rsidRPr="008F624B">
        <w:rPr>
          <w:rFonts w:ascii="Arial" w:hAnsi="Arial" w:cs="Arial"/>
          <w:sz w:val="20"/>
          <w:szCs w:val="20"/>
          <w:lang w:val="fr-FR"/>
        </w:rPr>
        <w:t xml:space="preserve">pourvu d’une fine couche de métal noble, </w:t>
      </w:r>
      <w:r w:rsidR="004B1652" w:rsidRPr="008F624B">
        <w:rPr>
          <w:rFonts w:ascii="Arial" w:hAnsi="Arial" w:cs="Arial"/>
          <w:sz w:val="20"/>
          <w:szCs w:val="20"/>
          <w:lang w:val="fr-FR"/>
        </w:rPr>
        <w:t>déposée</w:t>
      </w:r>
      <w:r w:rsidR="00EF4D1B" w:rsidRPr="008F624B">
        <w:rPr>
          <w:rFonts w:ascii="Arial" w:hAnsi="Arial" w:cs="Arial"/>
          <w:sz w:val="20"/>
          <w:szCs w:val="20"/>
          <w:lang w:val="fr-FR"/>
        </w:rPr>
        <w:t xml:space="preserve"> au moyen du procédé de la pulvérisation cathodique</w:t>
      </w:r>
      <w:r w:rsidR="004B1652" w:rsidRPr="008F624B">
        <w:rPr>
          <w:rFonts w:ascii="Arial" w:hAnsi="Arial" w:cs="Arial"/>
          <w:sz w:val="20"/>
          <w:szCs w:val="20"/>
          <w:lang w:val="fr-FR"/>
        </w:rPr>
        <w:t xml:space="preserve"> sous vide</w:t>
      </w:r>
      <w:r w:rsidR="00836718" w:rsidRPr="008F624B">
        <w:rPr>
          <w:rFonts w:ascii="Arial" w:hAnsi="Arial" w:cs="Arial"/>
          <w:noProof/>
          <w:sz w:val="20"/>
          <w:szCs w:val="20"/>
          <w:lang w:val="fr-FR"/>
        </w:rPr>
        <w:t>.</w:t>
      </w:r>
      <w:r w:rsidR="00650BDE" w:rsidRPr="008F624B">
        <w:rPr>
          <w:rFonts w:ascii="Arial" w:hAnsi="Arial" w:cs="Arial"/>
          <w:noProof/>
          <w:sz w:val="20"/>
          <w:szCs w:val="20"/>
          <w:lang w:val="fr-FR"/>
        </w:rPr>
        <w:t xml:space="preserve"> </w:t>
      </w:r>
    </w:p>
    <w:p w:rsidR="0074439F" w:rsidRPr="008F624B" w:rsidRDefault="0074439F" w:rsidP="00EB5FB7">
      <w:pPr>
        <w:pStyle w:val="NoSpacing"/>
        <w:rPr>
          <w:rFonts w:ascii="Arial" w:eastAsiaTheme="minorHAnsi" w:hAnsi="Arial" w:cs="Arial"/>
          <w:noProof/>
          <w:sz w:val="20"/>
          <w:szCs w:val="20"/>
          <w:lang w:val="fr-FR" w:eastAsia="en-US"/>
        </w:rPr>
      </w:pPr>
    </w:p>
    <w:p w:rsidR="00692AE8" w:rsidRPr="008F624B" w:rsidRDefault="00BC237D" w:rsidP="00692AE8">
      <w:pPr>
        <w:pStyle w:val="NoSpacing"/>
        <w:rPr>
          <w:rFonts w:ascii="Arial" w:eastAsiaTheme="minorHAnsi" w:hAnsi="Arial" w:cs="Arial"/>
          <w:noProof/>
          <w:sz w:val="20"/>
          <w:szCs w:val="20"/>
          <w:lang w:val="fr-FR" w:eastAsia="en-US"/>
        </w:rPr>
      </w:pPr>
      <w:r w:rsidRPr="008F624B">
        <w:rPr>
          <w:rFonts w:ascii="Arial" w:eastAsiaTheme="minorHAnsi" w:hAnsi="Arial" w:cs="Arial"/>
          <w:noProof/>
          <w:sz w:val="20"/>
          <w:szCs w:val="20"/>
          <w:lang w:val="fr-FR" w:eastAsia="en-US"/>
        </w:rPr>
        <w:t>Les deux interstices sont remplis d’un mélange gazeux thermiquement isolant et plus lourd que l’air</w:t>
      </w:r>
      <w:r w:rsidR="00692AE8" w:rsidRPr="008F624B">
        <w:rPr>
          <w:rFonts w:ascii="Arial" w:eastAsiaTheme="minorHAnsi" w:hAnsi="Arial" w:cs="Arial"/>
          <w:noProof/>
          <w:sz w:val="20"/>
          <w:szCs w:val="20"/>
          <w:lang w:val="fr-FR" w:eastAsia="en-US"/>
        </w:rPr>
        <w:t>.</w:t>
      </w:r>
    </w:p>
    <w:p w:rsidR="00EB5FB7" w:rsidRPr="008F624B" w:rsidRDefault="00EB5FB7" w:rsidP="00EB5FB7">
      <w:pPr>
        <w:pStyle w:val="NoSpacing"/>
        <w:rPr>
          <w:rFonts w:ascii="Arial" w:eastAsiaTheme="minorHAnsi" w:hAnsi="Arial" w:cs="Arial"/>
          <w:noProof/>
          <w:sz w:val="20"/>
          <w:szCs w:val="20"/>
          <w:lang w:val="fr-FR" w:eastAsia="en-US"/>
        </w:rPr>
      </w:pPr>
    </w:p>
    <w:p w:rsidR="00FA6661" w:rsidRPr="008F624B" w:rsidRDefault="00227B58" w:rsidP="00FA6661">
      <w:pPr>
        <w:spacing w:line="240" w:lineRule="auto"/>
        <w:jc w:val="both"/>
        <w:rPr>
          <w:rFonts w:ascii="Arial" w:hAnsi="Arial" w:cs="Arial"/>
          <w:b/>
          <w:noProof/>
          <w:color w:val="0070C0"/>
          <w:sz w:val="24"/>
          <w:szCs w:val="24"/>
          <w:lang w:val="fr-FR"/>
        </w:rPr>
      </w:pPr>
      <w:r w:rsidRPr="008F624B">
        <w:rPr>
          <w:rFonts w:ascii="Arial" w:hAnsi="Arial" w:cs="Arial"/>
          <w:b/>
          <w:noProof/>
          <w:color w:val="0070C0"/>
          <w:sz w:val="24"/>
          <w:szCs w:val="24"/>
          <w:lang w:val="fr-FR"/>
        </w:rPr>
        <w:t>Caractéristiques d</w:t>
      </w:r>
      <w:r w:rsidR="00085F55">
        <w:rPr>
          <w:rFonts w:ascii="Arial" w:hAnsi="Arial" w:cs="Arial"/>
          <w:b/>
          <w:noProof/>
          <w:color w:val="0070C0"/>
          <w:sz w:val="24"/>
          <w:szCs w:val="24"/>
          <w:lang w:val="fr-FR"/>
        </w:rPr>
        <w:t>u</w:t>
      </w:r>
      <w:r w:rsidR="00FA6661" w:rsidRPr="008F624B">
        <w:rPr>
          <w:rFonts w:ascii="Arial" w:hAnsi="Arial" w:cs="Arial"/>
          <w:b/>
          <w:noProof/>
          <w:color w:val="0070C0"/>
          <w:sz w:val="24"/>
          <w:szCs w:val="24"/>
          <w:lang w:val="fr-FR"/>
        </w:rPr>
        <w:t xml:space="preserve"> Thermobel </w:t>
      </w:r>
      <w:r w:rsidR="00650BDE" w:rsidRPr="008F624B">
        <w:rPr>
          <w:rFonts w:ascii="Arial" w:hAnsi="Arial" w:cs="Arial"/>
          <w:b/>
          <w:noProof/>
          <w:color w:val="0070C0"/>
          <w:sz w:val="24"/>
          <w:szCs w:val="24"/>
          <w:lang w:val="fr-FR"/>
        </w:rPr>
        <w:t xml:space="preserve">TG </w:t>
      </w:r>
      <w:r w:rsidR="00A06522">
        <w:rPr>
          <w:rFonts w:ascii="Arial" w:hAnsi="Arial" w:cs="Arial"/>
          <w:b/>
          <w:noProof/>
          <w:color w:val="0070C0"/>
          <w:sz w:val="24"/>
          <w:szCs w:val="24"/>
          <w:lang w:val="fr-FR"/>
        </w:rPr>
        <w:t>Advanced</w:t>
      </w:r>
      <w:r w:rsidR="00FA6661" w:rsidRPr="008F624B">
        <w:rPr>
          <w:rFonts w:ascii="Arial" w:hAnsi="Arial" w:cs="Arial"/>
          <w:b/>
          <w:noProof/>
          <w:color w:val="0070C0"/>
          <w:sz w:val="24"/>
          <w:szCs w:val="24"/>
          <w:lang w:val="fr-FR"/>
        </w:rPr>
        <w:t xml:space="preserve"> </w:t>
      </w:r>
      <w:r w:rsidR="005D4C2E" w:rsidRPr="008F624B">
        <w:rPr>
          <w:rFonts w:ascii="Arial" w:hAnsi="Arial" w:cs="Arial"/>
          <w:b/>
          <w:noProof/>
          <w:color w:val="0070C0"/>
          <w:sz w:val="24"/>
          <w:szCs w:val="24"/>
          <w:lang w:val="fr-FR"/>
        </w:rPr>
        <w:t>(1B1</w:t>
      </w:r>
      <w:r w:rsidR="00FA6661" w:rsidRPr="008F624B">
        <w:rPr>
          <w:rFonts w:ascii="Arial" w:hAnsi="Arial" w:cs="Arial"/>
          <w:b/>
          <w:noProof/>
          <w:color w:val="0070C0"/>
          <w:sz w:val="24"/>
          <w:szCs w:val="24"/>
          <w:lang w:val="fr-FR"/>
        </w:rPr>
        <w:t>)</w:t>
      </w:r>
    </w:p>
    <w:p w:rsidR="00FA6661" w:rsidRPr="008F624B" w:rsidRDefault="00723A29" w:rsidP="00FA6661">
      <w:pPr>
        <w:spacing w:line="240" w:lineRule="auto"/>
        <w:jc w:val="both"/>
        <w:rPr>
          <w:rFonts w:ascii="Arial" w:hAnsi="Arial" w:cs="Arial"/>
          <w:noProof/>
          <w:sz w:val="20"/>
          <w:szCs w:val="20"/>
          <w:lang w:val="fr-FR"/>
        </w:rPr>
      </w:pPr>
      <w:r w:rsidRPr="008F624B">
        <w:rPr>
          <w:rFonts w:ascii="Arial" w:hAnsi="Arial" w:cs="Arial"/>
          <w:color w:val="000000" w:themeColor="text1"/>
          <w:sz w:val="20"/>
          <w:szCs w:val="20"/>
          <w:lang w:val="fr-FR"/>
        </w:rPr>
        <w:t>Les principales propriétés optiques et thermiques pour une composition</w:t>
      </w:r>
      <w:r w:rsidR="00FA6661" w:rsidRPr="008F624B">
        <w:rPr>
          <w:rFonts w:ascii="Arial" w:hAnsi="Arial" w:cs="Arial"/>
          <w:noProof/>
          <w:sz w:val="20"/>
          <w:szCs w:val="20"/>
          <w:lang w:val="fr-FR"/>
        </w:rPr>
        <w:t xml:space="preserve"> </w:t>
      </w:r>
      <w:r w:rsidR="005E64E0">
        <w:rPr>
          <w:rFonts w:ascii="Arial" w:hAnsi="Arial" w:cs="Arial"/>
          <w:noProof/>
          <w:sz w:val="20"/>
          <w:szCs w:val="20"/>
          <w:lang w:val="fr-FR"/>
        </w:rPr>
        <w:t xml:space="preserve">4 mm </w:t>
      </w:r>
      <w:r w:rsidR="00650BDE" w:rsidRPr="008F624B">
        <w:rPr>
          <w:rFonts w:ascii="Arial" w:hAnsi="Arial" w:cs="Arial"/>
          <w:noProof/>
          <w:sz w:val="20"/>
          <w:szCs w:val="20"/>
          <w:lang w:val="fr-FR"/>
        </w:rPr>
        <w:t xml:space="preserve">iplus </w:t>
      </w:r>
      <w:r w:rsidR="00A06522">
        <w:rPr>
          <w:rFonts w:ascii="Arial" w:hAnsi="Arial" w:cs="Arial"/>
          <w:noProof/>
          <w:sz w:val="20"/>
          <w:szCs w:val="20"/>
          <w:lang w:val="fr-FR"/>
        </w:rPr>
        <w:t xml:space="preserve">Advanced </w:t>
      </w:r>
      <w:r w:rsidR="00650BDE" w:rsidRPr="008F624B">
        <w:rPr>
          <w:rFonts w:ascii="Arial" w:hAnsi="Arial" w:cs="Arial"/>
          <w:noProof/>
          <w:sz w:val="20"/>
          <w:szCs w:val="20"/>
          <w:lang w:val="fr-FR"/>
        </w:rPr>
        <w:t>1.</w:t>
      </w:r>
      <w:r w:rsidR="00A06522">
        <w:rPr>
          <w:rFonts w:ascii="Arial" w:hAnsi="Arial" w:cs="Arial"/>
          <w:noProof/>
          <w:sz w:val="20"/>
          <w:szCs w:val="20"/>
          <w:lang w:val="fr-FR"/>
        </w:rPr>
        <w:t>0</w:t>
      </w:r>
      <w:r w:rsidR="00650BDE" w:rsidRPr="008F624B">
        <w:rPr>
          <w:rFonts w:ascii="Arial" w:hAnsi="Arial" w:cs="Arial"/>
          <w:noProof/>
          <w:sz w:val="20"/>
          <w:szCs w:val="20"/>
          <w:lang w:val="fr-FR"/>
        </w:rPr>
        <w:t xml:space="preserve"> on Clearlite </w:t>
      </w:r>
      <w:r w:rsidR="00F61B33">
        <w:rPr>
          <w:rFonts w:ascii="Arial" w:hAnsi="Arial" w:cs="Arial"/>
          <w:noProof/>
          <w:sz w:val="20"/>
          <w:szCs w:val="20"/>
          <w:lang w:val="fr-FR"/>
        </w:rPr>
        <w:t>pos.2 –</w:t>
      </w:r>
      <w:r w:rsidR="00650BDE" w:rsidRPr="008F624B">
        <w:rPr>
          <w:rFonts w:ascii="Arial" w:hAnsi="Arial" w:cs="Arial"/>
          <w:noProof/>
          <w:sz w:val="20"/>
          <w:szCs w:val="20"/>
          <w:lang w:val="fr-FR"/>
        </w:rPr>
        <w:t xml:space="preserve"> </w:t>
      </w:r>
      <w:r w:rsidR="00F61B33">
        <w:rPr>
          <w:rFonts w:ascii="Arial" w:hAnsi="Arial" w:cs="Arial"/>
          <w:noProof/>
          <w:sz w:val="20"/>
          <w:szCs w:val="20"/>
          <w:lang w:val="fr-FR"/>
        </w:rPr>
        <w:t xml:space="preserve">15 mm </w:t>
      </w:r>
      <w:r w:rsidR="00FA6661" w:rsidRPr="008F624B">
        <w:rPr>
          <w:rFonts w:ascii="Arial" w:hAnsi="Arial" w:cs="Arial"/>
          <w:noProof/>
          <w:sz w:val="20"/>
          <w:szCs w:val="20"/>
          <w:lang w:val="fr-FR"/>
        </w:rPr>
        <w:t xml:space="preserve">argon 90% - </w:t>
      </w:r>
      <w:r w:rsidR="00F61B33">
        <w:rPr>
          <w:rFonts w:ascii="Arial" w:hAnsi="Arial" w:cs="Arial"/>
          <w:noProof/>
          <w:sz w:val="20"/>
          <w:szCs w:val="20"/>
          <w:lang w:val="fr-FR"/>
        </w:rPr>
        <w:t xml:space="preserve">4 mm </w:t>
      </w:r>
      <w:r w:rsidR="00650BDE" w:rsidRPr="008F624B">
        <w:rPr>
          <w:rFonts w:ascii="Arial" w:hAnsi="Arial" w:cs="Arial"/>
          <w:noProof/>
          <w:sz w:val="20"/>
          <w:szCs w:val="20"/>
          <w:lang w:val="fr-FR"/>
        </w:rPr>
        <w:t xml:space="preserve">Planibel Clearlite </w:t>
      </w:r>
      <w:r w:rsidR="00F61B33">
        <w:rPr>
          <w:rFonts w:ascii="Arial" w:hAnsi="Arial" w:cs="Arial"/>
          <w:noProof/>
          <w:sz w:val="20"/>
          <w:szCs w:val="20"/>
          <w:lang w:val="fr-FR"/>
        </w:rPr>
        <w:t>–</w:t>
      </w:r>
      <w:r w:rsidR="00650BDE" w:rsidRPr="008F624B">
        <w:rPr>
          <w:rFonts w:ascii="Arial" w:hAnsi="Arial" w:cs="Arial"/>
          <w:noProof/>
          <w:sz w:val="20"/>
          <w:szCs w:val="20"/>
          <w:lang w:val="fr-FR"/>
        </w:rPr>
        <w:t xml:space="preserve"> </w:t>
      </w:r>
      <w:r w:rsidR="00F61B33">
        <w:rPr>
          <w:rFonts w:ascii="Arial" w:hAnsi="Arial" w:cs="Arial"/>
          <w:noProof/>
          <w:sz w:val="20"/>
          <w:szCs w:val="20"/>
          <w:lang w:val="fr-FR"/>
        </w:rPr>
        <w:t xml:space="preserve">15 mm </w:t>
      </w:r>
      <w:r w:rsidR="00650BDE" w:rsidRPr="008F624B">
        <w:rPr>
          <w:rFonts w:ascii="Arial" w:hAnsi="Arial" w:cs="Arial"/>
          <w:noProof/>
          <w:sz w:val="20"/>
          <w:szCs w:val="20"/>
          <w:lang w:val="fr-FR"/>
        </w:rPr>
        <w:t xml:space="preserve">argon 90% - </w:t>
      </w:r>
      <w:r w:rsidR="00FA6661" w:rsidRPr="008F624B">
        <w:rPr>
          <w:rFonts w:ascii="Arial" w:hAnsi="Arial" w:cs="Arial"/>
          <w:noProof/>
          <w:sz w:val="20"/>
          <w:szCs w:val="20"/>
          <w:lang w:val="fr-FR"/>
        </w:rPr>
        <w:t xml:space="preserve">Stratobel 33.2 iplus </w:t>
      </w:r>
      <w:r w:rsidR="00A06522">
        <w:rPr>
          <w:rFonts w:ascii="Arial" w:hAnsi="Arial" w:cs="Arial"/>
          <w:noProof/>
          <w:sz w:val="20"/>
          <w:szCs w:val="20"/>
          <w:lang w:val="fr-FR"/>
        </w:rPr>
        <w:t xml:space="preserve">Advanced </w:t>
      </w:r>
      <w:r w:rsidR="00FA6661" w:rsidRPr="008F624B">
        <w:rPr>
          <w:rFonts w:ascii="Arial" w:hAnsi="Arial" w:cs="Arial"/>
          <w:noProof/>
          <w:sz w:val="20"/>
          <w:szCs w:val="20"/>
          <w:lang w:val="fr-FR"/>
        </w:rPr>
        <w:t>1.</w:t>
      </w:r>
      <w:r w:rsidR="00A06522">
        <w:rPr>
          <w:rFonts w:ascii="Arial" w:hAnsi="Arial" w:cs="Arial"/>
          <w:noProof/>
          <w:sz w:val="20"/>
          <w:szCs w:val="20"/>
          <w:lang w:val="fr-FR"/>
        </w:rPr>
        <w:t>0</w:t>
      </w:r>
      <w:r w:rsidR="00FA6661" w:rsidRPr="008F624B">
        <w:rPr>
          <w:rFonts w:ascii="Arial" w:hAnsi="Arial" w:cs="Arial"/>
          <w:noProof/>
          <w:sz w:val="20"/>
          <w:szCs w:val="20"/>
          <w:lang w:val="fr-FR"/>
        </w:rPr>
        <w:t xml:space="preserve"> on Clearlite </w:t>
      </w:r>
      <w:r w:rsidR="00F61B33">
        <w:rPr>
          <w:rFonts w:ascii="Arial" w:hAnsi="Arial" w:cs="Arial"/>
          <w:noProof/>
          <w:sz w:val="20"/>
          <w:szCs w:val="20"/>
          <w:lang w:val="fr-FR"/>
        </w:rPr>
        <w:t xml:space="preserve">pos. 5 </w:t>
      </w:r>
      <w:r w:rsidR="00644F4D" w:rsidRPr="008F624B">
        <w:rPr>
          <w:rFonts w:ascii="Arial" w:hAnsi="Arial" w:cs="Arial"/>
          <w:noProof/>
          <w:sz w:val="20"/>
          <w:szCs w:val="20"/>
          <w:lang w:val="fr-FR"/>
        </w:rPr>
        <w:t>sont :</w:t>
      </w:r>
    </w:p>
    <w:p w:rsidR="00E87F82" w:rsidRPr="008F624B" w:rsidRDefault="00E87F82" w:rsidP="00E87F82">
      <w:pPr>
        <w:pStyle w:val="ListParagraph"/>
        <w:numPr>
          <w:ilvl w:val="0"/>
          <w:numId w:val="12"/>
        </w:numPr>
        <w:spacing w:after="200" w:line="240" w:lineRule="auto"/>
        <w:jc w:val="both"/>
        <w:rPr>
          <w:rFonts w:ascii="Arial" w:hAnsi="Arial" w:cs="Arial"/>
          <w:sz w:val="20"/>
          <w:szCs w:val="20"/>
          <w:lang w:val="fr-FR"/>
        </w:rPr>
      </w:pPr>
      <w:r w:rsidRPr="008F624B">
        <w:rPr>
          <w:rFonts w:ascii="Arial" w:hAnsi="Arial" w:cs="Arial"/>
          <w:sz w:val="20"/>
          <w:szCs w:val="20"/>
          <w:lang w:val="fr-FR"/>
        </w:rPr>
        <w:t>Transmission lumineuse - TL</w:t>
      </w:r>
      <w:r w:rsidR="00D82877" w:rsidRPr="008F624B">
        <w:rPr>
          <w:rFonts w:ascii="Arial" w:hAnsi="Arial" w:cs="Arial"/>
          <w:sz w:val="20"/>
          <w:szCs w:val="20"/>
          <w:lang w:val="fr-FR"/>
        </w:rPr>
        <w:t xml:space="preserve"> : </w:t>
      </w:r>
      <w:r w:rsidR="00A06522">
        <w:rPr>
          <w:rFonts w:ascii="Arial" w:hAnsi="Arial" w:cs="Arial"/>
          <w:sz w:val="20"/>
          <w:szCs w:val="20"/>
          <w:lang w:val="fr-FR"/>
        </w:rPr>
        <w:t>65</w:t>
      </w:r>
      <w:r w:rsidRPr="008F624B">
        <w:rPr>
          <w:rFonts w:ascii="Arial" w:hAnsi="Arial" w:cs="Arial"/>
          <w:sz w:val="20"/>
          <w:szCs w:val="20"/>
          <w:lang w:val="fr-FR"/>
        </w:rPr>
        <w:t xml:space="preserve"> %</w:t>
      </w:r>
    </w:p>
    <w:p w:rsidR="00E87F82" w:rsidRPr="008F624B" w:rsidRDefault="00E87F82" w:rsidP="00E87F82">
      <w:pPr>
        <w:pStyle w:val="ListParagraph"/>
        <w:numPr>
          <w:ilvl w:val="0"/>
          <w:numId w:val="12"/>
        </w:numPr>
        <w:spacing w:after="200" w:line="240" w:lineRule="auto"/>
        <w:jc w:val="both"/>
        <w:rPr>
          <w:rFonts w:ascii="Arial" w:hAnsi="Arial" w:cs="Arial"/>
          <w:sz w:val="20"/>
          <w:szCs w:val="20"/>
          <w:lang w:val="fr-FR"/>
        </w:rPr>
      </w:pPr>
      <w:r w:rsidRPr="008F624B">
        <w:rPr>
          <w:rFonts w:ascii="Arial" w:hAnsi="Arial" w:cs="Arial"/>
          <w:sz w:val="20"/>
          <w:szCs w:val="20"/>
          <w:lang w:val="fr-FR"/>
        </w:rPr>
        <w:t>Réflexion lumineuse -  RL</w:t>
      </w:r>
      <w:r w:rsidR="005A0F6A" w:rsidRPr="008F624B">
        <w:rPr>
          <w:rFonts w:ascii="Arial" w:hAnsi="Arial" w:cs="Arial"/>
          <w:sz w:val="20"/>
          <w:szCs w:val="20"/>
          <w:lang w:val="fr-FR"/>
        </w:rPr>
        <w:t xml:space="preserve"> : </w:t>
      </w:r>
      <w:r w:rsidR="00A06522">
        <w:rPr>
          <w:rFonts w:ascii="Arial" w:hAnsi="Arial" w:cs="Arial"/>
          <w:sz w:val="20"/>
          <w:szCs w:val="20"/>
          <w:lang w:val="fr-FR"/>
        </w:rPr>
        <w:t>21</w:t>
      </w:r>
      <w:r w:rsidRPr="008F624B">
        <w:rPr>
          <w:rFonts w:ascii="Arial" w:hAnsi="Arial" w:cs="Arial"/>
          <w:sz w:val="20"/>
          <w:szCs w:val="20"/>
          <w:lang w:val="fr-FR"/>
        </w:rPr>
        <w:t xml:space="preserve"> %</w:t>
      </w:r>
    </w:p>
    <w:p w:rsidR="00E87F82" w:rsidRPr="008F624B" w:rsidRDefault="00E87F82" w:rsidP="00E87F82">
      <w:pPr>
        <w:pStyle w:val="ListParagraph"/>
        <w:numPr>
          <w:ilvl w:val="0"/>
          <w:numId w:val="12"/>
        </w:numPr>
        <w:spacing w:after="200" w:line="240" w:lineRule="auto"/>
        <w:jc w:val="both"/>
        <w:rPr>
          <w:rFonts w:ascii="Arial" w:hAnsi="Arial" w:cs="Arial"/>
          <w:sz w:val="20"/>
          <w:szCs w:val="20"/>
          <w:lang w:val="fr-FR"/>
        </w:rPr>
      </w:pPr>
      <w:r w:rsidRPr="008F624B">
        <w:rPr>
          <w:rFonts w:ascii="Arial" w:hAnsi="Arial" w:cs="Arial"/>
          <w:sz w:val="20"/>
          <w:szCs w:val="20"/>
          <w:lang w:val="fr-FR"/>
        </w:rPr>
        <w:t xml:space="preserve">Facteur solaire  -  FS : </w:t>
      </w:r>
      <w:r w:rsidR="00A06522">
        <w:rPr>
          <w:rFonts w:ascii="Arial" w:hAnsi="Arial" w:cs="Arial"/>
          <w:sz w:val="20"/>
          <w:szCs w:val="20"/>
          <w:lang w:val="fr-FR"/>
        </w:rPr>
        <w:t>4</w:t>
      </w:r>
      <w:r w:rsidRPr="008F624B">
        <w:rPr>
          <w:rFonts w:ascii="Arial" w:hAnsi="Arial" w:cs="Arial"/>
          <w:sz w:val="20"/>
          <w:szCs w:val="20"/>
          <w:lang w:val="fr-FR"/>
        </w:rPr>
        <w:t xml:space="preserve">0 % selon ISO 9050 et </w:t>
      </w:r>
      <w:r w:rsidR="00A06522">
        <w:rPr>
          <w:rFonts w:ascii="Arial" w:hAnsi="Arial" w:cs="Arial"/>
          <w:sz w:val="20"/>
          <w:szCs w:val="20"/>
          <w:lang w:val="fr-FR"/>
        </w:rPr>
        <w:t>4</w:t>
      </w:r>
      <w:r w:rsidR="005A0F6A" w:rsidRPr="008F624B">
        <w:rPr>
          <w:rFonts w:ascii="Arial" w:hAnsi="Arial" w:cs="Arial"/>
          <w:sz w:val="20"/>
          <w:szCs w:val="20"/>
          <w:lang w:val="fr-FR"/>
        </w:rPr>
        <w:t>3</w:t>
      </w:r>
      <w:r w:rsidRPr="008F624B">
        <w:rPr>
          <w:rFonts w:ascii="Arial" w:hAnsi="Arial" w:cs="Arial"/>
          <w:sz w:val="20"/>
          <w:szCs w:val="20"/>
          <w:lang w:val="fr-FR"/>
        </w:rPr>
        <w:t xml:space="preserve"> % selon NBN EN 410</w:t>
      </w:r>
    </w:p>
    <w:p w:rsidR="00E87F82" w:rsidRPr="008F624B" w:rsidRDefault="00E87F82" w:rsidP="00E87F82">
      <w:pPr>
        <w:pStyle w:val="ListParagraph"/>
        <w:numPr>
          <w:ilvl w:val="0"/>
          <w:numId w:val="12"/>
        </w:numPr>
        <w:spacing w:after="200" w:line="240" w:lineRule="auto"/>
        <w:jc w:val="both"/>
        <w:rPr>
          <w:rFonts w:ascii="Arial" w:hAnsi="Arial" w:cs="Arial"/>
          <w:sz w:val="20"/>
          <w:szCs w:val="20"/>
          <w:lang w:val="fr-FR"/>
        </w:rPr>
      </w:pPr>
      <w:r w:rsidRPr="008F624B">
        <w:rPr>
          <w:rFonts w:ascii="Arial" w:hAnsi="Arial" w:cs="Arial"/>
          <w:sz w:val="20"/>
          <w:szCs w:val="20"/>
          <w:lang w:val="fr-FR"/>
        </w:rPr>
        <w:t xml:space="preserve">Coefficient </w:t>
      </w:r>
      <w:proofErr w:type="spellStart"/>
      <w:r w:rsidRPr="008F624B">
        <w:rPr>
          <w:rFonts w:ascii="Arial" w:hAnsi="Arial" w:cs="Arial"/>
          <w:sz w:val="20"/>
          <w:szCs w:val="20"/>
          <w:lang w:val="fr-FR"/>
        </w:rPr>
        <w:t>U</w:t>
      </w:r>
      <w:r w:rsidRPr="008F624B">
        <w:rPr>
          <w:rFonts w:ascii="Arial" w:hAnsi="Arial" w:cs="Arial"/>
          <w:sz w:val="20"/>
          <w:szCs w:val="20"/>
          <w:vertAlign w:val="subscript"/>
          <w:lang w:val="fr-FR"/>
        </w:rPr>
        <w:t>g</w:t>
      </w:r>
      <w:proofErr w:type="spellEnd"/>
      <w:r w:rsidR="005A0F6A" w:rsidRPr="008F624B">
        <w:rPr>
          <w:rFonts w:ascii="Arial" w:hAnsi="Arial" w:cs="Arial"/>
          <w:sz w:val="20"/>
          <w:szCs w:val="20"/>
          <w:lang w:val="fr-FR"/>
        </w:rPr>
        <w:t xml:space="preserve"> : 0,6</w:t>
      </w:r>
      <w:r w:rsidRPr="008F624B">
        <w:rPr>
          <w:rFonts w:ascii="Arial" w:hAnsi="Arial" w:cs="Arial"/>
          <w:sz w:val="20"/>
          <w:szCs w:val="20"/>
          <w:lang w:val="fr-FR"/>
        </w:rPr>
        <w:t xml:space="preserve"> W/m²K selon la norme NBN EN 673.</w:t>
      </w:r>
    </w:p>
    <w:p w:rsidR="00E87F82" w:rsidRPr="008F624B" w:rsidRDefault="00E87F82" w:rsidP="00E87F82">
      <w:pPr>
        <w:pStyle w:val="ListParagraph"/>
        <w:numPr>
          <w:ilvl w:val="0"/>
          <w:numId w:val="12"/>
        </w:numPr>
        <w:spacing w:after="200" w:line="240" w:lineRule="auto"/>
        <w:jc w:val="both"/>
        <w:rPr>
          <w:rFonts w:ascii="Arial" w:hAnsi="Arial" w:cs="Arial"/>
          <w:sz w:val="20"/>
          <w:szCs w:val="20"/>
          <w:lang w:val="fr-FR"/>
        </w:rPr>
      </w:pPr>
      <w:r w:rsidRPr="008F624B">
        <w:rPr>
          <w:rFonts w:ascii="Arial" w:hAnsi="Arial" w:cs="Arial"/>
          <w:sz w:val="20"/>
          <w:szCs w:val="20"/>
          <w:lang w:val="fr-FR"/>
        </w:rPr>
        <w:t>Résistance à l’essai au pendule d</w:t>
      </w:r>
      <w:r w:rsidR="00F61B33">
        <w:rPr>
          <w:rFonts w:ascii="Arial" w:hAnsi="Arial" w:cs="Arial"/>
          <w:sz w:val="20"/>
          <w:szCs w:val="20"/>
          <w:lang w:val="fr-FR"/>
        </w:rPr>
        <w:t xml:space="preserve">u </w:t>
      </w:r>
      <w:r w:rsidRPr="008F624B">
        <w:rPr>
          <w:rFonts w:ascii="Arial" w:hAnsi="Arial" w:cs="Arial"/>
          <w:sz w:val="20"/>
          <w:szCs w:val="20"/>
          <w:lang w:val="fr-FR"/>
        </w:rPr>
        <w:t>verre intérieur : 1B1 selon NBN EN 12600</w:t>
      </w:r>
    </w:p>
    <w:p w:rsidR="00E87F82" w:rsidRPr="008F624B" w:rsidRDefault="00E87F82" w:rsidP="00E87F82">
      <w:pPr>
        <w:pStyle w:val="ListParagraph"/>
        <w:numPr>
          <w:ilvl w:val="0"/>
          <w:numId w:val="12"/>
        </w:numPr>
        <w:spacing w:after="200" w:line="240" w:lineRule="auto"/>
        <w:jc w:val="both"/>
        <w:rPr>
          <w:rFonts w:ascii="Arial" w:hAnsi="Arial" w:cs="Arial"/>
          <w:sz w:val="20"/>
          <w:szCs w:val="20"/>
          <w:lang w:val="fr-FR"/>
        </w:rPr>
      </w:pPr>
      <w:r w:rsidRPr="008F624B">
        <w:rPr>
          <w:rFonts w:ascii="Arial" w:hAnsi="Arial" w:cs="Arial"/>
          <w:sz w:val="20"/>
          <w:szCs w:val="20"/>
          <w:lang w:val="fr-FR"/>
        </w:rPr>
        <w:t>Couleur reflétée : neutre</w:t>
      </w:r>
    </w:p>
    <w:p w:rsidR="0052519C" w:rsidRPr="002A2469" w:rsidRDefault="002A2469" w:rsidP="00FA6661">
      <w:pPr>
        <w:spacing w:line="240" w:lineRule="auto"/>
        <w:jc w:val="both"/>
        <w:rPr>
          <w:rFonts w:ascii="Arial" w:hAnsi="Arial" w:cs="Arial"/>
          <w:noProof/>
          <w:sz w:val="20"/>
          <w:szCs w:val="20"/>
          <w:lang w:val="fr-FR"/>
        </w:rPr>
      </w:pPr>
      <w:r w:rsidRPr="008F624B">
        <w:rPr>
          <w:rFonts w:ascii="Arial" w:hAnsi="Arial" w:cs="Arial"/>
          <w:sz w:val="20"/>
          <w:szCs w:val="20"/>
          <w:lang w:val="fr-FR"/>
        </w:rPr>
        <w:t>L’étanchéité à l’air du vitrage fait l’objet d’une garantie décennale sur la base des définitions contenues dans le document de garantie du fabricant. Le double vitrage doit avoir un marquage CE et une certification BENOR afin de pouvoir démontrer sa conformité avec la norme NBN EN 1279-5. Le choix du type de vitrage de sécurité a lieu conformément à la norme NBN S23-002.</w:t>
      </w:r>
      <w:r w:rsidRPr="006F7934">
        <w:rPr>
          <w:rFonts w:ascii="Arial" w:hAnsi="Arial" w:cs="Arial"/>
          <w:sz w:val="20"/>
          <w:szCs w:val="20"/>
          <w:lang w:val="fr-FR"/>
        </w:rPr>
        <w:t xml:space="preserve"> </w:t>
      </w:r>
      <w:r>
        <w:rPr>
          <w:rFonts w:ascii="Arial" w:hAnsi="Arial" w:cs="Arial"/>
          <w:sz w:val="20"/>
          <w:szCs w:val="20"/>
          <w:lang w:val="fr-FR"/>
        </w:rPr>
        <w:t xml:space="preserve">Les épaisseurs du vitrage sont déterminées conformément à la norme </w:t>
      </w:r>
      <w:r w:rsidRPr="006F7934">
        <w:rPr>
          <w:rFonts w:ascii="Arial" w:hAnsi="Arial" w:cs="Arial"/>
          <w:sz w:val="20"/>
          <w:szCs w:val="20"/>
          <w:lang w:val="fr-FR"/>
        </w:rPr>
        <w:t xml:space="preserve">NBN S 23-002-2 </w:t>
      </w:r>
      <w:r w:rsidRPr="007B6E72">
        <w:rPr>
          <w:rFonts w:ascii="Arial" w:hAnsi="Arial" w:cs="Arial"/>
          <w:sz w:val="20"/>
          <w:szCs w:val="20"/>
          <w:lang w:val="fr-FR"/>
        </w:rPr>
        <w:t>en fonction de la charge de vent et des dimensions du vitrage</w:t>
      </w:r>
      <w:r w:rsidR="00FA6661" w:rsidRPr="002A2469">
        <w:rPr>
          <w:rFonts w:ascii="Arial" w:hAnsi="Arial" w:cs="Arial"/>
          <w:noProof/>
          <w:sz w:val="20"/>
          <w:szCs w:val="20"/>
          <w:lang w:val="fr-FR"/>
        </w:rPr>
        <w:t xml:space="preserve">.  </w:t>
      </w:r>
    </w:p>
    <w:tbl>
      <w:tblPr>
        <w:tblStyle w:val="TableGrid"/>
        <w:tblW w:w="0" w:type="auto"/>
        <w:tblInd w:w="-147" w:type="dxa"/>
        <w:tblLook w:val="04A0" w:firstRow="1" w:lastRow="0" w:firstColumn="1" w:lastColumn="0" w:noHBand="0" w:noVBand="1"/>
      </w:tblPr>
      <w:tblGrid>
        <w:gridCol w:w="2410"/>
        <w:gridCol w:w="7931"/>
      </w:tblGrid>
      <w:tr w:rsidR="00D23D81" w:rsidRPr="00F61B33" w:rsidTr="000C18DD">
        <w:sdt>
          <w:sdtPr>
            <w:rPr>
              <w:rFonts w:ascii="Arial" w:hAnsi="Arial" w:cs="Arial"/>
              <w:noProof/>
              <w:sz w:val="17"/>
              <w:szCs w:val="17"/>
              <w:lang w:val="fr-FR"/>
            </w:rPr>
            <w:id w:val="8029321"/>
            <w:picture/>
          </w:sdtPr>
          <w:sdtEndPr/>
          <w:sdtContent>
            <w:tc>
              <w:tcPr>
                <w:tcW w:w="2410" w:type="dxa"/>
                <w:tcBorders>
                  <w:top w:val="nil"/>
                  <w:left w:val="nil"/>
                  <w:bottom w:val="nil"/>
                  <w:right w:val="nil"/>
                </w:tcBorders>
              </w:tcPr>
              <w:p w:rsidR="00D23D81" w:rsidRPr="002A2469" w:rsidRDefault="000C18DD" w:rsidP="00D23D81">
                <w:pPr>
                  <w:rPr>
                    <w:rFonts w:ascii="Arial" w:hAnsi="Arial" w:cs="Arial"/>
                    <w:noProof/>
                    <w:sz w:val="17"/>
                    <w:szCs w:val="17"/>
                    <w:lang w:val="fr-FR"/>
                  </w:rPr>
                </w:pPr>
                <w:r w:rsidRPr="002A2469">
                  <w:rPr>
                    <w:rFonts w:ascii="Arial" w:hAnsi="Arial" w:cs="Arial"/>
                    <w:noProof/>
                    <w:sz w:val="17"/>
                    <w:szCs w:val="17"/>
                    <w:lang w:val="fr-BE" w:eastAsia="ja-JP"/>
                  </w:rPr>
                  <w:drawing>
                    <wp:inline distT="0" distB="0" distL="0" distR="0">
                      <wp:extent cx="1259999" cy="1218957"/>
                      <wp:effectExtent l="0" t="0" r="0" b="0"/>
                      <wp:docPr id="9"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59999" cy="1218957"/>
                              </a:xfrm>
                              <a:prstGeom prst="rect">
                                <a:avLst/>
                              </a:prstGeom>
                              <a:noFill/>
                              <a:ln>
                                <a:noFill/>
                              </a:ln>
                            </pic:spPr>
                          </pic:pic>
                        </a:graphicData>
                      </a:graphic>
                    </wp:inline>
                  </w:drawing>
                </w:r>
              </w:p>
            </w:tc>
          </w:sdtContent>
        </w:sdt>
        <w:tc>
          <w:tcPr>
            <w:tcW w:w="7931" w:type="dxa"/>
            <w:tcBorders>
              <w:top w:val="nil"/>
              <w:left w:val="nil"/>
              <w:bottom w:val="nil"/>
              <w:right w:val="nil"/>
            </w:tcBorders>
          </w:tcPr>
          <w:p w:rsidR="000C18DD" w:rsidRDefault="000C18DD" w:rsidP="00867E04">
            <w:pPr>
              <w:rPr>
                <w:rFonts w:ascii="Arial" w:hAnsi="Arial" w:cs="Arial"/>
                <w:noProof/>
                <w:sz w:val="20"/>
                <w:szCs w:val="20"/>
                <w:lang w:val="fr-FR"/>
              </w:rPr>
            </w:pPr>
          </w:p>
          <w:p w:rsidR="00F61B33" w:rsidRDefault="00F61B33" w:rsidP="00867E04">
            <w:pPr>
              <w:rPr>
                <w:rFonts w:ascii="Arial" w:hAnsi="Arial" w:cs="Arial"/>
                <w:noProof/>
                <w:sz w:val="20"/>
                <w:szCs w:val="20"/>
                <w:lang w:val="fr-FR"/>
              </w:rPr>
            </w:pPr>
          </w:p>
          <w:p w:rsidR="00F61B33" w:rsidRPr="00F61B33" w:rsidRDefault="00F61B33" w:rsidP="00A06522">
            <w:pPr>
              <w:rPr>
                <w:rFonts w:ascii="Arial" w:hAnsi="Arial" w:cs="Arial"/>
                <w:noProof/>
                <w:sz w:val="20"/>
                <w:szCs w:val="20"/>
                <w:lang w:val="en-US"/>
              </w:rPr>
            </w:pPr>
            <w:r>
              <w:rPr>
                <w:rFonts w:ascii="Arial" w:hAnsi="Arial" w:cs="Arial"/>
                <w:sz w:val="20"/>
                <w:szCs w:val="20"/>
                <w:lang w:val="en-US"/>
              </w:rPr>
              <w:t xml:space="preserve">Le </w:t>
            </w:r>
            <w:r w:rsidRPr="00F61B33">
              <w:rPr>
                <w:rFonts w:ascii="Arial" w:hAnsi="Arial" w:cs="Arial"/>
                <w:sz w:val="20"/>
                <w:szCs w:val="20"/>
                <w:lang w:val="en-US"/>
              </w:rPr>
              <w:t xml:space="preserve">Thermobel TG </w:t>
            </w:r>
            <w:r w:rsidR="00A06522">
              <w:rPr>
                <w:rFonts w:ascii="Arial" w:hAnsi="Arial" w:cs="Arial"/>
                <w:sz w:val="20"/>
                <w:szCs w:val="20"/>
                <w:lang w:val="en-US"/>
              </w:rPr>
              <w:t xml:space="preserve">Advanced </w:t>
            </w:r>
            <w:proofErr w:type="spellStart"/>
            <w:r w:rsidR="00A06522">
              <w:rPr>
                <w:rFonts w:ascii="Arial" w:hAnsi="Arial" w:cs="Arial"/>
                <w:sz w:val="20"/>
                <w:szCs w:val="20"/>
                <w:lang w:val="en-US"/>
              </w:rPr>
              <w:t>es</w:t>
            </w:r>
            <w:r w:rsidRPr="00F61B33">
              <w:rPr>
                <w:rFonts w:ascii="Arial" w:hAnsi="Arial" w:cs="Arial"/>
                <w:sz w:val="20"/>
                <w:szCs w:val="20"/>
                <w:lang w:val="en-US"/>
              </w:rPr>
              <w:t>t</w:t>
            </w:r>
            <w:proofErr w:type="spellEnd"/>
            <w:r w:rsidRPr="00F61B33">
              <w:rPr>
                <w:rFonts w:ascii="Arial" w:hAnsi="Arial" w:cs="Arial"/>
                <w:sz w:val="20"/>
                <w:szCs w:val="20"/>
                <w:lang w:val="en-US"/>
              </w:rPr>
              <w:t xml:space="preserve"> </w:t>
            </w:r>
            <w:proofErr w:type="spellStart"/>
            <w:r w:rsidRPr="00F61B33">
              <w:rPr>
                <w:rFonts w:ascii="Arial" w:hAnsi="Arial" w:cs="Arial"/>
                <w:sz w:val="20"/>
                <w:szCs w:val="20"/>
                <w:lang w:val="en-US"/>
              </w:rPr>
              <w:t>certifié</w:t>
            </w:r>
            <w:proofErr w:type="spellEnd"/>
            <w:r>
              <w:rPr>
                <w:rFonts w:ascii="Arial" w:hAnsi="Arial" w:cs="Arial"/>
                <w:sz w:val="20"/>
                <w:szCs w:val="20"/>
                <w:lang w:val="en-US"/>
              </w:rPr>
              <w:t xml:space="preserve"> </w:t>
            </w:r>
            <w:proofErr w:type="spellStart"/>
            <w:r w:rsidRPr="00F61B33">
              <w:rPr>
                <w:rFonts w:ascii="Arial" w:hAnsi="Arial" w:cs="Arial"/>
                <w:sz w:val="20"/>
                <w:szCs w:val="20"/>
                <w:lang w:val="en-US"/>
              </w:rPr>
              <w:t>CradletoCradle</w:t>
            </w:r>
            <w:proofErr w:type="spellEnd"/>
            <w:r w:rsidRPr="00F61B33">
              <w:rPr>
                <w:rFonts w:ascii="Arial" w:hAnsi="Arial" w:cs="Arial"/>
                <w:sz w:val="20"/>
                <w:szCs w:val="20"/>
                <w:lang w:val="en-US"/>
              </w:rPr>
              <w:t xml:space="preserve"> Certified™ Bronze</w:t>
            </w:r>
          </w:p>
        </w:tc>
      </w:tr>
    </w:tbl>
    <w:p w:rsidR="00D23D81" w:rsidRPr="00F61B33" w:rsidRDefault="00D23D81" w:rsidP="00D23D81">
      <w:pPr>
        <w:spacing w:after="0"/>
        <w:rPr>
          <w:rFonts w:ascii="Arial" w:hAnsi="Arial" w:cs="Arial"/>
          <w:noProof/>
          <w:sz w:val="17"/>
          <w:szCs w:val="17"/>
          <w:lang w:val="en-US"/>
        </w:rPr>
      </w:pPr>
    </w:p>
    <w:sectPr w:rsidR="00D23D81" w:rsidRPr="00F61B33" w:rsidSect="00F75CEE">
      <w:type w:val="continuous"/>
      <w:pgSz w:w="11906" w:h="16838"/>
      <w:pgMar w:top="680" w:right="851" w:bottom="851" w:left="851" w:header="28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DF0" w:rsidRDefault="00422DF0" w:rsidP="008F0868">
      <w:pPr>
        <w:spacing w:after="0" w:line="240" w:lineRule="auto"/>
      </w:pPr>
      <w:r>
        <w:separator/>
      </w:r>
    </w:p>
  </w:endnote>
  <w:endnote w:type="continuationSeparator" w:id="0">
    <w:p w:rsidR="00422DF0" w:rsidRDefault="00422DF0" w:rsidP="008F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615436"/>
      <w:picture/>
    </w:sdtPr>
    <w:sdtEndPr/>
    <w:sdtContent>
      <w:p w:rsidR="000C18DD" w:rsidRDefault="00986555">
        <w:pPr>
          <w:pStyle w:val="Footer"/>
        </w:pPr>
        <w:r>
          <w:rPr>
            <w:noProof/>
            <w:lang w:val="fr-BE" w:eastAsia="ja-JP"/>
          </w:rPr>
          <w:drawing>
            <wp:inline distT="0" distB="0" distL="0" distR="0">
              <wp:extent cx="7199993" cy="396274"/>
              <wp:effectExtent l="0" t="0" r="0" b="0"/>
              <wp:docPr id="13"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99993" cy="396274"/>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DF0" w:rsidRDefault="00422DF0" w:rsidP="008F0868">
      <w:pPr>
        <w:spacing w:after="0" w:line="240" w:lineRule="auto"/>
      </w:pPr>
      <w:r>
        <w:separator/>
      </w:r>
    </w:p>
  </w:footnote>
  <w:footnote w:type="continuationSeparator" w:id="0">
    <w:p w:rsidR="00422DF0" w:rsidRDefault="00422DF0" w:rsidP="008F0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982866"/>
      <w:picture/>
    </w:sdtPr>
    <w:sdtEndPr/>
    <w:sdtContent>
      <w:p w:rsidR="00F75CEE" w:rsidRDefault="00405E0B">
        <w:pPr>
          <w:pStyle w:val="Header"/>
        </w:pPr>
        <w:r>
          <w:rPr>
            <w:noProof/>
            <w:lang w:val="fr-BE" w:eastAsia="ja-JP"/>
          </w:rPr>
          <w:drawing>
            <wp:inline distT="0" distB="0" distL="0" distR="0">
              <wp:extent cx="7199996" cy="2377644"/>
              <wp:effectExtent l="0" t="0" r="1270" b="381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99996" cy="2377644"/>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753E2"/>
    <w:multiLevelType w:val="hybridMultilevel"/>
    <w:tmpl w:val="72F0F24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E71045E"/>
    <w:multiLevelType w:val="hybridMultilevel"/>
    <w:tmpl w:val="4F38A6D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9600F06"/>
    <w:multiLevelType w:val="hybridMultilevel"/>
    <w:tmpl w:val="0DF25A0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CE20819"/>
    <w:multiLevelType w:val="hybridMultilevel"/>
    <w:tmpl w:val="C98EFD90"/>
    <w:lvl w:ilvl="0" w:tplc="080C0005">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 w15:restartNumberingAfterBreak="0">
    <w:nsid w:val="319B4018"/>
    <w:multiLevelType w:val="hybridMultilevel"/>
    <w:tmpl w:val="3BA8EA9E"/>
    <w:lvl w:ilvl="0" w:tplc="63702818">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3E051986"/>
    <w:multiLevelType w:val="hybridMultilevel"/>
    <w:tmpl w:val="E54E7DE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270141D"/>
    <w:multiLevelType w:val="hybridMultilevel"/>
    <w:tmpl w:val="7F10F0D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4B34F61"/>
    <w:multiLevelType w:val="hybridMultilevel"/>
    <w:tmpl w:val="006A5DF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6C767E6"/>
    <w:multiLevelType w:val="hybridMultilevel"/>
    <w:tmpl w:val="8318A35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24532F7"/>
    <w:multiLevelType w:val="hybridMultilevel"/>
    <w:tmpl w:val="F1CE226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F5B38E7"/>
    <w:multiLevelType w:val="hybridMultilevel"/>
    <w:tmpl w:val="4AEA60E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7"/>
  </w:num>
  <w:num w:numId="6">
    <w:abstractNumId w:val="7"/>
  </w:num>
  <w:num w:numId="7">
    <w:abstractNumId w:val="2"/>
  </w:num>
  <w:num w:numId="8">
    <w:abstractNumId w:val="8"/>
  </w:num>
  <w:num w:numId="9">
    <w:abstractNumId w:val="10"/>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0868"/>
    <w:rsid w:val="00031942"/>
    <w:rsid w:val="00053D07"/>
    <w:rsid w:val="000627E3"/>
    <w:rsid w:val="00084C86"/>
    <w:rsid w:val="00085228"/>
    <w:rsid w:val="00085F55"/>
    <w:rsid w:val="00095F93"/>
    <w:rsid w:val="000A15CB"/>
    <w:rsid w:val="000A2F42"/>
    <w:rsid w:val="000B1A47"/>
    <w:rsid w:val="000B54D6"/>
    <w:rsid w:val="000B6D84"/>
    <w:rsid w:val="000C18DD"/>
    <w:rsid w:val="00110E99"/>
    <w:rsid w:val="0011248C"/>
    <w:rsid w:val="001C6F16"/>
    <w:rsid w:val="001D0B05"/>
    <w:rsid w:val="001F1722"/>
    <w:rsid w:val="00227B58"/>
    <w:rsid w:val="0024444C"/>
    <w:rsid w:val="0028172F"/>
    <w:rsid w:val="00286CD7"/>
    <w:rsid w:val="002960F9"/>
    <w:rsid w:val="002A2469"/>
    <w:rsid w:val="002B360C"/>
    <w:rsid w:val="002B59CF"/>
    <w:rsid w:val="002B7746"/>
    <w:rsid w:val="002C2227"/>
    <w:rsid w:val="002C5E77"/>
    <w:rsid w:val="00356B45"/>
    <w:rsid w:val="00364C21"/>
    <w:rsid w:val="003E1D88"/>
    <w:rsid w:val="00405E0B"/>
    <w:rsid w:val="00422DF0"/>
    <w:rsid w:val="004249B9"/>
    <w:rsid w:val="004326B5"/>
    <w:rsid w:val="00434804"/>
    <w:rsid w:val="00456E6F"/>
    <w:rsid w:val="004A579F"/>
    <w:rsid w:val="004B1652"/>
    <w:rsid w:val="004B2C03"/>
    <w:rsid w:val="004E1D4D"/>
    <w:rsid w:val="0051780A"/>
    <w:rsid w:val="0052519C"/>
    <w:rsid w:val="00545049"/>
    <w:rsid w:val="00552C7E"/>
    <w:rsid w:val="005870FD"/>
    <w:rsid w:val="005A0F6A"/>
    <w:rsid w:val="005C7880"/>
    <w:rsid w:val="005C7ED1"/>
    <w:rsid w:val="005D4C2E"/>
    <w:rsid w:val="005E64E0"/>
    <w:rsid w:val="00644F4D"/>
    <w:rsid w:val="00645840"/>
    <w:rsid w:val="00650BDE"/>
    <w:rsid w:val="006624F7"/>
    <w:rsid w:val="0067319B"/>
    <w:rsid w:val="00692AE8"/>
    <w:rsid w:val="006B5C90"/>
    <w:rsid w:val="00723A29"/>
    <w:rsid w:val="0074439F"/>
    <w:rsid w:val="00762936"/>
    <w:rsid w:val="00770D80"/>
    <w:rsid w:val="007F5884"/>
    <w:rsid w:val="00833B42"/>
    <w:rsid w:val="00836718"/>
    <w:rsid w:val="00837CEE"/>
    <w:rsid w:val="00842E83"/>
    <w:rsid w:val="00867E04"/>
    <w:rsid w:val="008B090C"/>
    <w:rsid w:val="008D0FAC"/>
    <w:rsid w:val="008E1341"/>
    <w:rsid w:val="008F0868"/>
    <w:rsid w:val="008F624B"/>
    <w:rsid w:val="00972D13"/>
    <w:rsid w:val="00986555"/>
    <w:rsid w:val="009C5BDB"/>
    <w:rsid w:val="009E649D"/>
    <w:rsid w:val="009F2F22"/>
    <w:rsid w:val="00A00232"/>
    <w:rsid w:val="00A02914"/>
    <w:rsid w:val="00A04198"/>
    <w:rsid w:val="00A06522"/>
    <w:rsid w:val="00A60A3C"/>
    <w:rsid w:val="00A63BE9"/>
    <w:rsid w:val="00AD2F0D"/>
    <w:rsid w:val="00AD5300"/>
    <w:rsid w:val="00BC237D"/>
    <w:rsid w:val="00BD3788"/>
    <w:rsid w:val="00BE20B5"/>
    <w:rsid w:val="00BF6C54"/>
    <w:rsid w:val="00C13AB0"/>
    <w:rsid w:val="00C45557"/>
    <w:rsid w:val="00C472F9"/>
    <w:rsid w:val="00C90D51"/>
    <w:rsid w:val="00CB000E"/>
    <w:rsid w:val="00CC730D"/>
    <w:rsid w:val="00CE7A22"/>
    <w:rsid w:val="00D10CB3"/>
    <w:rsid w:val="00D23D81"/>
    <w:rsid w:val="00D51F03"/>
    <w:rsid w:val="00D76518"/>
    <w:rsid w:val="00D82877"/>
    <w:rsid w:val="00D929CD"/>
    <w:rsid w:val="00E54302"/>
    <w:rsid w:val="00E87F82"/>
    <w:rsid w:val="00EB5FB7"/>
    <w:rsid w:val="00EC2832"/>
    <w:rsid w:val="00EF4D1B"/>
    <w:rsid w:val="00F040F0"/>
    <w:rsid w:val="00F05ABC"/>
    <w:rsid w:val="00F1609A"/>
    <w:rsid w:val="00F33208"/>
    <w:rsid w:val="00F61B33"/>
    <w:rsid w:val="00F75CEE"/>
    <w:rsid w:val="00F82E1B"/>
    <w:rsid w:val="00F9428C"/>
    <w:rsid w:val="00FA6661"/>
    <w:rsid w:val="00FB3385"/>
    <w:rsid w:val="00FE33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C2D28DD-4296-46B4-9DEE-96078892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8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0868"/>
  </w:style>
  <w:style w:type="paragraph" w:styleId="Footer">
    <w:name w:val="footer"/>
    <w:basedOn w:val="Normal"/>
    <w:link w:val="FooterChar"/>
    <w:uiPriority w:val="99"/>
    <w:unhideWhenUsed/>
    <w:rsid w:val="008F08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0868"/>
  </w:style>
  <w:style w:type="paragraph" w:styleId="ListParagraph">
    <w:name w:val="List Paragraph"/>
    <w:basedOn w:val="Normal"/>
    <w:uiPriority w:val="34"/>
    <w:qFormat/>
    <w:rsid w:val="00D23D81"/>
    <w:pPr>
      <w:ind w:left="720"/>
      <w:contextualSpacing/>
    </w:pPr>
  </w:style>
  <w:style w:type="table" w:styleId="TableGrid">
    <w:name w:val="Table Grid"/>
    <w:basedOn w:val="TableNormal"/>
    <w:uiPriority w:val="39"/>
    <w:rsid w:val="00D23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1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8DD"/>
    <w:rPr>
      <w:rFonts w:ascii="Segoe UI" w:hAnsi="Segoe UI" w:cs="Segoe UI"/>
      <w:sz w:val="18"/>
      <w:szCs w:val="18"/>
    </w:rPr>
  </w:style>
  <w:style w:type="paragraph" w:styleId="NoSpacing">
    <w:name w:val="No Spacing"/>
    <w:uiPriority w:val="1"/>
    <w:qFormat/>
    <w:rsid w:val="00F82E1B"/>
    <w:pPr>
      <w:spacing w:after="0" w:line="240" w:lineRule="auto"/>
    </w:pPr>
    <w:rPr>
      <w:rFonts w:eastAsiaTheme="minorEastAsia"/>
      <w:lang w:eastAsia="ja-JP"/>
    </w:rPr>
  </w:style>
  <w:style w:type="paragraph" w:styleId="BodyText">
    <w:name w:val="Body Text"/>
    <w:basedOn w:val="Normal"/>
    <w:link w:val="BodyTextChar"/>
    <w:uiPriority w:val="99"/>
    <w:unhideWhenUsed/>
    <w:rsid w:val="00C90D51"/>
    <w:pPr>
      <w:overflowPunct w:val="0"/>
      <w:autoSpaceDE w:val="0"/>
      <w:autoSpaceDN w:val="0"/>
      <w:adjustRightInd w:val="0"/>
      <w:spacing w:after="0" w:line="240" w:lineRule="auto"/>
      <w:ind w:right="1214"/>
    </w:pPr>
    <w:rPr>
      <w:rFonts w:ascii="Times New Roman" w:eastAsia="MS Mincho" w:hAnsi="Times New Roman" w:cs="Times New Roman"/>
      <w:sz w:val="24"/>
      <w:szCs w:val="20"/>
      <w:lang w:val="nl-NL"/>
    </w:rPr>
  </w:style>
  <w:style w:type="character" w:customStyle="1" w:styleId="BodyTextChar">
    <w:name w:val="Body Text Char"/>
    <w:basedOn w:val="DefaultParagraphFont"/>
    <w:link w:val="BodyText"/>
    <w:uiPriority w:val="99"/>
    <w:rsid w:val="00C90D51"/>
    <w:rPr>
      <w:rFonts w:ascii="Times New Roman" w:eastAsia="MS Mincho" w:hAnsi="Times New Roman" w:cs="Times New Roman"/>
      <w:sz w:val="24"/>
      <w:szCs w:val="20"/>
      <w:lang w:val="nl-NL"/>
    </w:rPr>
  </w:style>
  <w:style w:type="character" w:styleId="CommentReference">
    <w:name w:val="annotation reference"/>
    <w:basedOn w:val="DefaultParagraphFont"/>
    <w:uiPriority w:val="99"/>
    <w:semiHidden/>
    <w:unhideWhenUsed/>
    <w:rsid w:val="002A2469"/>
    <w:rPr>
      <w:sz w:val="18"/>
      <w:szCs w:val="18"/>
    </w:rPr>
  </w:style>
  <w:style w:type="paragraph" w:styleId="CommentText">
    <w:name w:val="annotation text"/>
    <w:basedOn w:val="Normal"/>
    <w:link w:val="CommentTextChar"/>
    <w:uiPriority w:val="99"/>
    <w:semiHidden/>
    <w:unhideWhenUsed/>
    <w:rsid w:val="002A2469"/>
    <w:pPr>
      <w:spacing w:line="240" w:lineRule="auto"/>
    </w:pPr>
    <w:rPr>
      <w:sz w:val="24"/>
      <w:szCs w:val="24"/>
    </w:rPr>
  </w:style>
  <w:style w:type="character" w:customStyle="1" w:styleId="CommentTextChar">
    <w:name w:val="Comment Text Char"/>
    <w:basedOn w:val="DefaultParagraphFont"/>
    <w:link w:val="CommentText"/>
    <w:uiPriority w:val="99"/>
    <w:semiHidden/>
    <w:rsid w:val="002A24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80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355</Words>
  <Characters>1957</Characters>
  <Application>Microsoft Office Word</Application>
  <DocSecurity>0</DocSecurity>
  <Lines>16</Lines>
  <Paragraphs>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jurgen@eeuwenaert.onmicrosoft.com</dc:creator>
  <cp:keywords/>
  <dc:description/>
  <cp:lastModifiedBy>Janssens Denis</cp:lastModifiedBy>
  <cp:revision>68</cp:revision>
  <cp:lastPrinted>2016-09-09T06:55:00Z</cp:lastPrinted>
  <dcterms:created xsi:type="dcterms:W3CDTF">2017-02-05T12:20:00Z</dcterms:created>
  <dcterms:modified xsi:type="dcterms:W3CDTF">2017-05-12T09:32:00Z</dcterms:modified>
  <cp:category>anv/rf</cp:category>
</cp:coreProperties>
</file>