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CEE" w:rsidRDefault="00F75CEE" w:rsidP="000C18DD">
      <w:pPr>
        <w:spacing w:after="240"/>
        <w:rPr>
          <w:rFonts w:ascii="Arial" w:hAnsi="Arial" w:cs="Arial"/>
          <w:sz w:val="24"/>
          <w:szCs w:val="24"/>
        </w:rPr>
        <w:sectPr w:rsidR="00F75CEE" w:rsidSect="000C18DD">
          <w:headerReference w:type="default" r:id="rId7"/>
          <w:footerReference w:type="default" r:id="rId8"/>
          <w:pgSz w:w="11906" w:h="16838"/>
          <w:pgMar w:top="284" w:right="284" w:bottom="851" w:left="284" w:header="284" w:footer="567" w:gutter="0"/>
          <w:cols w:space="708"/>
          <w:docGrid w:linePitch="360"/>
        </w:sectPr>
      </w:pPr>
    </w:p>
    <w:p w:rsidR="009C5BDB" w:rsidRPr="00ED5743" w:rsidRDefault="00A21E48" w:rsidP="00EB22A5">
      <w:pPr>
        <w:pStyle w:val="NoSpacing"/>
        <w:rPr>
          <w:rFonts w:ascii="Arial" w:hAnsi="Arial" w:cs="Arial"/>
          <w:b/>
          <w:color w:val="0070C0"/>
          <w:sz w:val="28"/>
          <w:szCs w:val="28"/>
          <w:lang w:val="fr-BE"/>
        </w:rPr>
      </w:pPr>
      <w:r w:rsidRPr="00ED5743">
        <w:rPr>
          <w:rFonts w:ascii="Arial" w:hAnsi="Arial" w:cs="Arial"/>
          <w:b/>
          <w:sz w:val="28"/>
          <w:szCs w:val="28"/>
          <w:lang w:val="fr-BE"/>
        </w:rPr>
        <w:t>Descriptif pour cahier des charges</w:t>
      </w:r>
      <w:r w:rsidR="00EB22A5" w:rsidRPr="00ED5743">
        <w:rPr>
          <w:rFonts w:ascii="Arial" w:hAnsi="Arial" w:cs="Arial"/>
          <w:b/>
          <w:sz w:val="28"/>
          <w:szCs w:val="28"/>
          <w:lang w:val="fr-BE"/>
        </w:rPr>
        <w:t xml:space="preserve"> - </w:t>
      </w:r>
      <w:r w:rsidR="00EB22A5" w:rsidRPr="00ED5743">
        <w:rPr>
          <w:rFonts w:ascii="Arial" w:hAnsi="Arial" w:cs="Arial"/>
          <w:b/>
          <w:color w:val="0070C0"/>
          <w:sz w:val="28"/>
          <w:szCs w:val="28"/>
          <w:lang w:val="fr-BE"/>
        </w:rPr>
        <w:t xml:space="preserve">Thermobel Stopray </w:t>
      </w:r>
      <w:proofErr w:type="spellStart"/>
      <w:r w:rsidR="00355836">
        <w:rPr>
          <w:rFonts w:ascii="Arial" w:hAnsi="Arial" w:cs="Arial"/>
          <w:b/>
          <w:color w:val="0070C0"/>
          <w:sz w:val="28"/>
          <w:szCs w:val="28"/>
          <w:lang w:val="fr-BE"/>
        </w:rPr>
        <w:t>Silver</w:t>
      </w:r>
      <w:proofErr w:type="spellEnd"/>
    </w:p>
    <w:p w:rsidR="00EB22A5" w:rsidRPr="00ED5743" w:rsidRDefault="00EB22A5" w:rsidP="00EB22A5">
      <w:pPr>
        <w:pStyle w:val="NoSpacing"/>
        <w:rPr>
          <w:rFonts w:ascii="Arial" w:hAnsi="Arial" w:cs="Arial"/>
          <w:b/>
          <w:color w:val="0070C0"/>
          <w:sz w:val="20"/>
          <w:szCs w:val="20"/>
          <w:lang w:val="fr-BE"/>
        </w:rPr>
      </w:pPr>
    </w:p>
    <w:p w:rsidR="00F46E06" w:rsidRPr="009C0B77" w:rsidRDefault="00F46E06" w:rsidP="009C5BDB">
      <w:pPr>
        <w:spacing w:line="240" w:lineRule="auto"/>
        <w:jc w:val="both"/>
        <w:rPr>
          <w:rFonts w:ascii="Arial" w:hAnsi="Arial" w:cs="Arial"/>
          <w:lang w:val="fr-BE"/>
        </w:rPr>
      </w:pPr>
      <w:r w:rsidRPr="009C0B77">
        <w:rPr>
          <w:rFonts w:ascii="Arial" w:hAnsi="Arial" w:cs="Arial"/>
          <w:lang w:val="fr-BE"/>
        </w:rPr>
        <w:t xml:space="preserve">Double vitrage à isolation thermique renforcée et à contrôle solaire se composant de deux verres séparés par un intercalaire métallique creux rempli de dessicatif. L’ensemble est scellé par un double joint élastique qui assure la cohésion de l'unité dans le temps. </w:t>
      </w:r>
    </w:p>
    <w:p w:rsidR="007377AD" w:rsidRPr="009C0B77" w:rsidRDefault="007377AD" w:rsidP="009C5BDB">
      <w:pPr>
        <w:spacing w:line="240" w:lineRule="auto"/>
        <w:jc w:val="both"/>
        <w:rPr>
          <w:rFonts w:ascii="Arial" w:hAnsi="Arial" w:cs="Arial"/>
          <w:lang w:val="fr-BE"/>
        </w:rPr>
      </w:pPr>
      <w:r w:rsidRPr="009C0B77">
        <w:rPr>
          <w:rFonts w:ascii="Arial" w:hAnsi="Arial" w:cs="Arial"/>
          <w:lang w:val="fr-BE"/>
        </w:rPr>
        <w:t>Le verre extérieur est un verre clair avec une épaisseur minimale de 6mm, qui est recouvert côté intercalaire (position 2) d’une couche métallique neutre et transparente déposée sous vide continu par procédé de pulvérisation cathodique.</w:t>
      </w:r>
    </w:p>
    <w:p w:rsidR="00F46E06" w:rsidRPr="009C0B77" w:rsidRDefault="00F46E06" w:rsidP="00F46E06">
      <w:pPr>
        <w:spacing w:line="240" w:lineRule="auto"/>
        <w:jc w:val="both"/>
        <w:rPr>
          <w:rFonts w:ascii="Arial" w:hAnsi="Arial" w:cs="Arial"/>
          <w:lang w:val="fr-BE"/>
        </w:rPr>
      </w:pPr>
      <w:r w:rsidRPr="009C0B77">
        <w:rPr>
          <w:rFonts w:ascii="Arial" w:hAnsi="Arial" w:cs="Arial"/>
          <w:lang w:val="fr-BE"/>
        </w:rPr>
        <w:t>L'espace entre ces deux verres est rempli d'un gaz thermique plus isolant que l'air.</w:t>
      </w:r>
    </w:p>
    <w:p w:rsidR="00F46E06" w:rsidRPr="009C0B77" w:rsidRDefault="00F46E06" w:rsidP="00F46E06">
      <w:pPr>
        <w:spacing w:line="240" w:lineRule="auto"/>
        <w:jc w:val="both"/>
        <w:rPr>
          <w:rFonts w:ascii="Arial" w:hAnsi="Arial" w:cs="Arial"/>
          <w:lang w:val="fr-BE"/>
        </w:rPr>
      </w:pPr>
      <w:r w:rsidRPr="009C0B77">
        <w:rPr>
          <w:rFonts w:ascii="Arial" w:hAnsi="Arial" w:cs="Arial"/>
          <w:lang w:val="fr-BE"/>
        </w:rPr>
        <w:t xml:space="preserve">Le verre intérieur est constitué d’un </w:t>
      </w:r>
      <w:proofErr w:type="spellStart"/>
      <w:r w:rsidRPr="009C0B77">
        <w:rPr>
          <w:rFonts w:ascii="Arial" w:hAnsi="Arial" w:cs="Arial"/>
          <w:lang w:val="fr-BE"/>
        </w:rPr>
        <w:t>float</w:t>
      </w:r>
      <w:proofErr w:type="spellEnd"/>
      <w:r w:rsidRPr="009C0B77">
        <w:rPr>
          <w:rFonts w:ascii="Arial" w:hAnsi="Arial" w:cs="Arial"/>
          <w:lang w:val="fr-BE"/>
        </w:rPr>
        <w:t xml:space="preserve"> clair d’une épaisseur minimale de 4 </w:t>
      </w:r>
      <w:proofErr w:type="spellStart"/>
      <w:r w:rsidRPr="009C0B77">
        <w:rPr>
          <w:rFonts w:ascii="Arial" w:hAnsi="Arial" w:cs="Arial"/>
          <w:lang w:val="fr-BE"/>
        </w:rPr>
        <w:t>mm.</w:t>
      </w:r>
      <w:proofErr w:type="spellEnd"/>
    </w:p>
    <w:p w:rsidR="009C5BDB" w:rsidRPr="00A21E48" w:rsidRDefault="009D06B2" w:rsidP="00F46E06">
      <w:pPr>
        <w:spacing w:line="240" w:lineRule="auto"/>
        <w:jc w:val="both"/>
        <w:rPr>
          <w:rFonts w:ascii="Arial" w:hAnsi="Arial" w:cs="Arial"/>
          <w:b/>
          <w:color w:val="0070C0"/>
          <w:sz w:val="24"/>
          <w:szCs w:val="24"/>
          <w:lang w:val="fr-BE"/>
        </w:rPr>
      </w:pPr>
      <w:r>
        <w:rPr>
          <w:rFonts w:ascii="Arial" w:hAnsi="Arial" w:cs="Arial"/>
          <w:b/>
          <w:color w:val="0070C0"/>
          <w:sz w:val="24"/>
          <w:szCs w:val="24"/>
          <w:lang w:val="fr-BE"/>
        </w:rPr>
        <w:t>Caractéristiques du</w:t>
      </w:r>
      <w:r w:rsidR="009C5BDB" w:rsidRPr="00A21E48">
        <w:rPr>
          <w:rFonts w:ascii="Arial" w:hAnsi="Arial" w:cs="Arial"/>
          <w:b/>
          <w:color w:val="0070C0"/>
          <w:sz w:val="24"/>
          <w:szCs w:val="24"/>
          <w:lang w:val="fr-BE"/>
        </w:rPr>
        <w:t xml:space="preserve"> Thermobel Stopray </w:t>
      </w:r>
      <w:proofErr w:type="spellStart"/>
      <w:r w:rsidR="00AB14B2">
        <w:rPr>
          <w:rFonts w:ascii="Arial" w:hAnsi="Arial" w:cs="Arial"/>
          <w:b/>
          <w:color w:val="0070C0"/>
          <w:sz w:val="24"/>
          <w:szCs w:val="24"/>
          <w:lang w:val="fr-BE"/>
        </w:rPr>
        <w:t>Silver</w:t>
      </w:r>
      <w:proofErr w:type="spellEnd"/>
    </w:p>
    <w:p w:rsidR="003D0813" w:rsidRPr="009C0B77" w:rsidRDefault="003D0813" w:rsidP="003D0813">
      <w:pPr>
        <w:spacing w:after="200"/>
        <w:jc w:val="both"/>
        <w:rPr>
          <w:rFonts w:ascii="Arial" w:hAnsi="Arial" w:cs="Arial"/>
          <w:lang w:val="fr-BE"/>
        </w:rPr>
      </w:pPr>
      <w:r w:rsidRPr="009C0B77">
        <w:rPr>
          <w:rFonts w:ascii="Arial" w:hAnsi="Arial" w:cs="Arial"/>
          <w:lang w:val="fr-BE"/>
        </w:rPr>
        <w:t xml:space="preserve">Les principales caractéristiques lumineuses et énergétiques pour une composition 6mm Stopray </w:t>
      </w:r>
      <w:proofErr w:type="spellStart"/>
      <w:r w:rsidR="00AB14B2">
        <w:rPr>
          <w:rFonts w:ascii="Arial" w:hAnsi="Arial" w:cs="Arial"/>
          <w:lang w:val="fr-BE"/>
        </w:rPr>
        <w:t>Silver</w:t>
      </w:r>
      <w:proofErr w:type="spellEnd"/>
      <w:r w:rsidRPr="009C0B77">
        <w:rPr>
          <w:rFonts w:ascii="Arial" w:hAnsi="Arial" w:cs="Arial"/>
          <w:lang w:val="fr-BE"/>
        </w:rPr>
        <w:t xml:space="preserve"> </w:t>
      </w:r>
      <w:r w:rsidR="000F715F">
        <w:rPr>
          <w:rFonts w:ascii="Arial" w:hAnsi="Arial" w:cs="Arial"/>
          <w:lang w:val="fr-BE"/>
        </w:rPr>
        <w:t xml:space="preserve">pos.2 </w:t>
      </w:r>
      <w:bookmarkStart w:id="0" w:name="_GoBack"/>
      <w:bookmarkEnd w:id="0"/>
      <w:r w:rsidRPr="009C0B77">
        <w:rPr>
          <w:rFonts w:ascii="Arial" w:hAnsi="Arial" w:cs="Arial"/>
          <w:lang w:val="fr-BE"/>
        </w:rPr>
        <w:t xml:space="preserve">- 15mm avec un remplissage à l’Argon 90% - 4mm Planibel </w:t>
      </w:r>
      <w:proofErr w:type="spellStart"/>
      <w:r w:rsidRPr="009C0B77">
        <w:rPr>
          <w:rFonts w:ascii="Arial" w:hAnsi="Arial" w:cs="Arial"/>
          <w:lang w:val="fr-BE"/>
        </w:rPr>
        <w:t>Clearlite</w:t>
      </w:r>
      <w:proofErr w:type="spellEnd"/>
      <w:r w:rsidRPr="009C0B77">
        <w:rPr>
          <w:rFonts w:ascii="Arial" w:hAnsi="Arial" w:cs="Arial"/>
          <w:lang w:val="fr-BE"/>
        </w:rPr>
        <w:t xml:space="preserve"> sont:</w:t>
      </w:r>
    </w:p>
    <w:p w:rsidR="003D0813" w:rsidRPr="000F715F" w:rsidRDefault="003D0813" w:rsidP="003D0813">
      <w:pPr>
        <w:pStyle w:val="ListParagraph"/>
        <w:numPr>
          <w:ilvl w:val="0"/>
          <w:numId w:val="6"/>
        </w:numPr>
        <w:spacing w:after="200"/>
        <w:jc w:val="both"/>
        <w:rPr>
          <w:rFonts w:ascii="Arial" w:hAnsi="Arial" w:cs="Arial"/>
          <w:lang w:val="fr-BE"/>
        </w:rPr>
      </w:pPr>
      <w:r w:rsidRPr="000F715F">
        <w:rPr>
          <w:rFonts w:ascii="Arial" w:hAnsi="Arial" w:cs="Arial"/>
          <w:lang w:val="fr-BE"/>
        </w:rPr>
        <w:t xml:space="preserve">Transmission lumineuse  - TL :  </w:t>
      </w:r>
      <w:r w:rsidR="00C16C8B" w:rsidRPr="000F715F">
        <w:rPr>
          <w:rFonts w:ascii="Arial" w:hAnsi="Arial" w:cs="Arial"/>
          <w:lang w:val="fr-BE"/>
        </w:rPr>
        <w:t>43</w:t>
      </w:r>
      <w:r w:rsidRPr="000F715F">
        <w:rPr>
          <w:rFonts w:ascii="Arial" w:hAnsi="Arial" w:cs="Arial"/>
          <w:lang w:val="fr-BE"/>
        </w:rPr>
        <w:t xml:space="preserve"> %</w:t>
      </w:r>
    </w:p>
    <w:p w:rsidR="003D0813" w:rsidRPr="000F715F" w:rsidRDefault="003D0813" w:rsidP="003D0813">
      <w:pPr>
        <w:pStyle w:val="ListParagraph"/>
        <w:numPr>
          <w:ilvl w:val="0"/>
          <w:numId w:val="6"/>
        </w:numPr>
        <w:spacing w:after="200"/>
        <w:jc w:val="both"/>
        <w:rPr>
          <w:rFonts w:ascii="Arial" w:hAnsi="Arial" w:cs="Arial"/>
          <w:lang w:val="fr-BE"/>
        </w:rPr>
      </w:pPr>
      <w:r w:rsidRPr="000F715F">
        <w:rPr>
          <w:rFonts w:ascii="Arial" w:hAnsi="Arial" w:cs="Arial"/>
          <w:lang w:val="fr-BE"/>
        </w:rPr>
        <w:t xml:space="preserve">Réflexion lumineuse - RL : </w:t>
      </w:r>
      <w:r w:rsidR="00C16C8B" w:rsidRPr="000F715F">
        <w:rPr>
          <w:rFonts w:ascii="Arial" w:hAnsi="Arial" w:cs="Arial"/>
          <w:lang w:val="fr-BE"/>
        </w:rPr>
        <w:t>47</w:t>
      </w:r>
      <w:r w:rsidRPr="000F715F">
        <w:rPr>
          <w:rFonts w:ascii="Arial" w:hAnsi="Arial" w:cs="Arial"/>
          <w:lang w:val="fr-BE"/>
        </w:rPr>
        <w:t xml:space="preserve"> %</w:t>
      </w:r>
    </w:p>
    <w:p w:rsidR="003D0813" w:rsidRPr="009C0B77" w:rsidRDefault="003D0813" w:rsidP="003D0813">
      <w:pPr>
        <w:pStyle w:val="ListParagraph"/>
        <w:numPr>
          <w:ilvl w:val="0"/>
          <w:numId w:val="6"/>
        </w:numPr>
        <w:spacing w:after="200"/>
        <w:jc w:val="both"/>
        <w:rPr>
          <w:rFonts w:ascii="Arial" w:hAnsi="Arial" w:cs="Arial"/>
          <w:lang w:val="fr-BE"/>
        </w:rPr>
      </w:pPr>
      <w:r w:rsidRPr="009C0B77">
        <w:rPr>
          <w:rFonts w:ascii="Arial" w:hAnsi="Arial" w:cs="Arial"/>
          <w:lang w:val="fr-BE"/>
        </w:rPr>
        <w:t xml:space="preserve">Facteur solaire - FS : </w:t>
      </w:r>
      <w:r w:rsidR="0095698D">
        <w:rPr>
          <w:rFonts w:ascii="Arial" w:hAnsi="Arial" w:cs="Arial"/>
          <w:lang w:val="fr-BE"/>
        </w:rPr>
        <w:t>2</w:t>
      </w:r>
      <w:r w:rsidR="00C16C8B">
        <w:rPr>
          <w:rFonts w:ascii="Arial" w:hAnsi="Arial" w:cs="Arial"/>
          <w:lang w:val="fr-BE"/>
        </w:rPr>
        <w:t>5</w:t>
      </w:r>
      <w:r w:rsidRPr="009C0B77">
        <w:rPr>
          <w:rFonts w:ascii="Arial" w:hAnsi="Arial" w:cs="Arial"/>
          <w:lang w:val="fr-BE"/>
        </w:rPr>
        <w:t xml:space="preserve"> % selon ISO 9050 et </w:t>
      </w:r>
      <w:r w:rsidR="0095698D">
        <w:rPr>
          <w:rFonts w:ascii="Arial" w:hAnsi="Arial" w:cs="Arial"/>
          <w:lang w:val="fr-BE"/>
        </w:rPr>
        <w:t>2</w:t>
      </w:r>
      <w:r w:rsidR="00C16C8B">
        <w:rPr>
          <w:rFonts w:ascii="Arial" w:hAnsi="Arial" w:cs="Arial"/>
          <w:lang w:val="fr-BE"/>
        </w:rPr>
        <w:t>7</w:t>
      </w:r>
      <w:r w:rsidRPr="009C0B77">
        <w:rPr>
          <w:rFonts w:ascii="Arial" w:hAnsi="Arial" w:cs="Arial"/>
          <w:lang w:val="fr-BE"/>
        </w:rPr>
        <w:t>% suivant NBN EN 410</w:t>
      </w:r>
    </w:p>
    <w:p w:rsidR="003D0813" w:rsidRPr="009C0B77" w:rsidRDefault="003D0813" w:rsidP="003D0813">
      <w:pPr>
        <w:pStyle w:val="ListParagraph"/>
        <w:numPr>
          <w:ilvl w:val="0"/>
          <w:numId w:val="6"/>
        </w:numPr>
        <w:spacing w:after="200"/>
        <w:jc w:val="both"/>
        <w:rPr>
          <w:rFonts w:ascii="Arial" w:hAnsi="Arial" w:cs="Arial"/>
          <w:lang w:val="fr-BE"/>
        </w:rPr>
      </w:pPr>
      <w:r w:rsidRPr="009C0B77">
        <w:rPr>
          <w:rFonts w:ascii="Arial" w:hAnsi="Arial" w:cs="Arial"/>
          <w:lang w:val="fr-BE"/>
        </w:rPr>
        <w:t xml:space="preserve">Coefficient </w:t>
      </w:r>
      <w:proofErr w:type="spellStart"/>
      <w:r w:rsidRPr="009C0B77">
        <w:rPr>
          <w:rFonts w:ascii="Arial" w:hAnsi="Arial" w:cs="Arial"/>
          <w:lang w:val="fr-BE"/>
        </w:rPr>
        <w:t>Ug</w:t>
      </w:r>
      <w:proofErr w:type="spellEnd"/>
      <w:r w:rsidRPr="009C0B77">
        <w:rPr>
          <w:rFonts w:ascii="Arial" w:hAnsi="Arial" w:cs="Arial"/>
          <w:lang w:val="fr-BE"/>
        </w:rPr>
        <w:t xml:space="preserve"> : 1,0 W/m²K suivant NBN EN 673.</w:t>
      </w:r>
    </w:p>
    <w:p w:rsidR="003D0813" w:rsidRPr="009C0B77" w:rsidRDefault="003D0813" w:rsidP="003D0813">
      <w:pPr>
        <w:pStyle w:val="ListParagraph"/>
        <w:numPr>
          <w:ilvl w:val="0"/>
          <w:numId w:val="6"/>
        </w:numPr>
        <w:spacing w:after="200"/>
        <w:jc w:val="both"/>
        <w:rPr>
          <w:rFonts w:ascii="Arial" w:hAnsi="Arial" w:cs="Arial"/>
          <w:lang w:val="nl-NL"/>
        </w:rPr>
      </w:pPr>
      <w:r w:rsidRPr="009C0B77">
        <w:rPr>
          <w:rFonts w:ascii="Arial" w:hAnsi="Arial" w:cs="Arial"/>
          <w:lang w:val="nl-NL"/>
        </w:rPr>
        <w:t xml:space="preserve">Couleur en </w:t>
      </w:r>
      <w:proofErr w:type="spellStart"/>
      <w:r w:rsidRPr="009C0B77">
        <w:rPr>
          <w:rFonts w:ascii="Arial" w:hAnsi="Arial" w:cs="Arial"/>
          <w:lang w:val="nl-NL"/>
        </w:rPr>
        <w:t>réflexion</w:t>
      </w:r>
      <w:proofErr w:type="spellEnd"/>
      <w:r w:rsidRPr="009C0B77">
        <w:rPr>
          <w:rFonts w:ascii="Arial" w:hAnsi="Arial" w:cs="Arial"/>
          <w:lang w:val="nl-NL"/>
        </w:rPr>
        <w:t xml:space="preserve"> : </w:t>
      </w:r>
      <w:proofErr w:type="spellStart"/>
      <w:r w:rsidRPr="009C0B77">
        <w:rPr>
          <w:rFonts w:ascii="Arial" w:hAnsi="Arial" w:cs="Arial"/>
          <w:lang w:val="nl-NL"/>
        </w:rPr>
        <w:t>neutre</w:t>
      </w:r>
      <w:proofErr w:type="spellEnd"/>
    </w:p>
    <w:p w:rsidR="003D0813" w:rsidRPr="009C0B77" w:rsidRDefault="003D0813" w:rsidP="003D0813">
      <w:pPr>
        <w:spacing w:after="200"/>
        <w:jc w:val="both"/>
        <w:rPr>
          <w:rFonts w:ascii="Arial" w:hAnsi="Arial" w:cs="Arial"/>
          <w:lang w:val="fr-BE"/>
        </w:rPr>
      </w:pPr>
      <w:r w:rsidRPr="009C0B77">
        <w:rPr>
          <w:rFonts w:ascii="Arial" w:hAnsi="Arial" w:cs="Arial"/>
          <w:lang w:val="fr-BE"/>
        </w:rPr>
        <w:t>L'étanchéité de ce vitrage est garanti 10 ans suivant les conditions renseignées dans les documents du fabricant.  Le double vitrage doit avoir un marquage CE et une certification BENOR pour prouver la conformité avec la norme NBN EN 1279-5. Le choix du type de vitrage de sécurité est conforme la NBN S23-002. Les épaisseurs des verres seront déterminées conformément à la norme NBN S 23-002-2 en fonction de la pression du vent et des dimensions du vitrage.</w:t>
      </w:r>
    </w:p>
    <w:tbl>
      <w:tblPr>
        <w:tblStyle w:val="TableGrid"/>
        <w:tblW w:w="0" w:type="auto"/>
        <w:tblInd w:w="-147" w:type="dxa"/>
        <w:tblLook w:val="04A0" w:firstRow="1" w:lastRow="0" w:firstColumn="1" w:lastColumn="0" w:noHBand="0" w:noVBand="1"/>
      </w:tblPr>
      <w:tblGrid>
        <w:gridCol w:w="2410"/>
        <w:gridCol w:w="7931"/>
      </w:tblGrid>
      <w:tr w:rsidR="00D23D81" w:rsidRPr="00AB14B2" w:rsidTr="000C18DD">
        <w:sdt>
          <w:sdtPr>
            <w:rPr>
              <w:rFonts w:ascii="Arial" w:hAnsi="Arial" w:cs="Arial"/>
              <w:sz w:val="17"/>
              <w:szCs w:val="17"/>
            </w:rPr>
            <w:id w:val="8029321"/>
            <w:picture/>
          </w:sdtPr>
          <w:sdtEndPr/>
          <w:sdtContent>
            <w:tc>
              <w:tcPr>
                <w:tcW w:w="2410" w:type="dxa"/>
                <w:tcBorders>
                  <w:top w:val="nil"/>
                  <w:left w:val="nil"/>
                  <w:bottom w:val="nil"/>
                  <w:right w:val="nil"/>
                </w:tcBorders>
              </w:tcPr>
              <w:p w:rsidR="00D23D81" w:rsidRDefault="000C18DD" w:rsidP="00D23D81">
                <w:pPr>
                  <w:rPr>
                    <w:rFonts w:ascii="Arial" w:hAnsi="Arial" w:cs="Arial"/>
                    <w:sz w:val="17"/>
                    <w:szCs w:val="17"/>
                  </w:rPr>
                </w:pPr>
                <w:r>
                  <w:rPr>
                    <w:rFonts w:ascii="Arial" w:hAnsi="Arial" w:cs="Arial"/>
                    <w:noProof/>
                    <w:sz w:val="17"/>
                    <w:szCs w:val="17"/>
                    <w:lang w:val="fr-BE" w:eastAsia="ja-JP"/>
                  </w:rPr>
                  <w:drawing>
                    <wp:inline distT="0" distB="0" distL="0" distR="0" wp14:anchorId="0185BCE3" wp14:editId="02AC1088">
                      <wp:extent cx="1259999" cy="1218957"/>
                      <wp:effectExtent l="0" t="0" r="0" b="635"/>
                      <wp:docPr id="9" name="Afbeelding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259999" cy="1218957"/>
                              </a:xfrm>
                              <a:prstGeom prst="rect">
                                <a:avLst/>
                              </a:prstGeom>
                              <a:noFill/>
                              <a:ln>
                                <a:noFill/>
                              </a:ln>
                            </pic:spPr>
                          </pic:pic>
                        </a:graphicData>
                      </a:graphic>
                    </wp:inline>
                  </w:drawing>
                </w:r>
              </w:p>
            </w:tc>
          </w:sdtContent>
        </w:sdt>
        <w:tc>
          <w:tcPr>
            <w:tcW w:w="7931" w:type="dxa"/>
            <w:tcBorders>
              <w:top w:val="nil"/>
              <w:left w:val="nil"/>
              <w:bottom w:val="nil"/>
              <w:right w:val="nil"/>
            </w:tcBorders>
          </w:tcPr>
          <w:p w:rsidR="008F40D1" w:rsidRDefault="008F40D1" w:rsidP="00D23D81">
            <w:pPr>
              <w:rPr>
                <w:rFonts w:ascii="Arial" w:hAnsi="Arial" w:cs="Arial"/>
                <w:b/>
                <w:color w:val="164194"/>
                <w:sz w:val="24"/>
                <w:szCs w:val="24"/>
              </w:rPr>
            </w:pPr>
          </w:p>
          <w:p w:rsidR="008F40D1" w:rsidRPr="00EB22A5" w:rsidRDefault="008F40D1" w:rsidP="00D23D81">
            <w:pPr>
              <w:rPr>
                <w:rFonts w:ascii="Arial" w:hAnsi="Arial" w:cs="Arial"/>
                <w:b/>
                <w:color w:val="164194"/>
                <w:sz w:val="24"/>
                <w:szCs w:val="24"/>
              </w:rPr>
            </w:pPr>
          </w:p>
          <w:p w:rsidR="000C18DD" w:rsidRPr="00F6289C" w:rsidRDefault="0076010F" w:rsidP="00AB14B2">
            <w:pPr>
              <w:rPr>
                <w:rFonts w:ascii="Arial" w:hAnsi="Arial" w:cs="Arial"/>
                <w:lang w:val="en-US"/>
              </w:rPr>
            </w:pPr>
            <w:r w:rsidRPr="00F6289C">
              <w:rPr>
                <w:rFonts w:ascii="Arial" w:hAnsi="Arial" w:cs="Arial"/>
                <w:lang w:val="en-US"/>
              </w:rPr>
              <w:t xml:space="preserve">Thermobel </w:t>
            </w:r>
            <w:r w:rsidR="008B090C" w:rsidRPr="00F6289C">
              <w:rPr>
                <w:rFonts w:ascii="Arial" w:hAnsi="Arial" w:cs="Arial"/>
                <w:lang w:val="en-US"/>
              </w:rPr>
              <w:t xml:space="preserve">Stopray </w:t>
            </w:r>
            <w:r w:rsidR="00AB14B2">
              <w:rPr>
                <w:rFonts w:ascii="Arial" w:hAnsi="Arial" w:cs="Arial"/>
                <w:lang w:val="en-US"/>
              </w:rPr>
              <w:t xml:space="preserve">Silver </w:t>
            </w:r>
            <w:proofErr w:type="spellStart"/>
            <w:r w:rsidR="009E0078">
              <w:rPr>
                <w:rFonts w:ascii="Arial" w:hAnsi="Arial" w:cs="Arial"/>
                <w:lang w:val="en-US"/>
              </w:rPr>
              <w:t>e</w:t>
            </w:r>
            <w:r w:rsidR="00D969D0" w:rsidRPr="00F6289C">
              <w:rPr>
                <w:rFonts w:ascii="Arial" w:hAnsi="Arial" w:cs="Arial"/>
                <w:lang w:val="en-US"/>
              </w:rPr>
              <w:t>st</w:t>
            </w:r>
            <w:proofErr w:type="spellEnd"/>
            <w:r w:rsidR="00D969D0" w:rsidRPr="00F6289C">
              <w:rPr>
                <w:rFonts w:ascii="Arial" w:hAnsi="Arial" w:cs="Arial"/>
                <w:lang w:val="en-US"/>
              </w:rPr>
              <w:t xml:space="preserve"> </w:t>
            </w:r>
            <w:proofErr w:type="spellStart"/>
            <w:r w:rsidR="00D969D0" w:rsidRPr="00F6289C">
              <w:rPr>
                <w:rFonts w:ascii="Arial" w:hAnsi="Arial" w:cs="Arial"/>
                <w:lang w:val="en-US"/>
              </w:rPr>
              <w:t>certifié</w:t>
            </w:r>
            <w:proofErr w:type="spellEnd"/>
            <w:r w:rsidR="00D969D0" w:rsidRPr="00F6289C">
              <w:rPr>
                <w:rFonts w:ascii="Arial" w:hAnsi="Arial" w:cs="Arial"/>
                <w:lang w:val="en-US"/>
              </w:rPr>
              <w:t xml:space="preserve"> </w:t>
            </w:r>
            <w:proofErr w:type="spellStart"/>
            <w:r w:rsidR="00D969D0" w:rsidRPr="00F6289C">
              <w:rPr>
                <w:rFonts w:ascii="Arial" w:hAnsi="Arial" w:cs="Arial"/>
                <w:lang w:val="en-US"/>
              </w:rPr>
              <w:t>CradletoCradle</w:t>
            </w:r>
            <w:proofErr w:type="spellEnd"/>
            <w:r w:rsidR="00D969D0" w:rsidRPr="00F6289C">
              <w:rPr>
                <w:rFonts w:ascii="Arial" w:hAnsi="Arial" w:cs="Arial"/>
                <w:lang w:val="en-US"/>
              </w:rPr>
              <w:t xml:space="preserve"> Certified™ Bronze</w:t>
            </w:r>
          </w:p>
        </w:tc>
      </w:tr>
    </w:tbl>
    <w:p w:rsidR="00D23D81" w:rsidRPr="004249B9" w:rsidRDefault="00D23D81" w:rsidP="00D23D81">
      <w:pPr>
        <w:spacing w:after="0"/>
        <w:rPr>
          <w:rFonts w:ascii="Arial" w:hAnsi="Arial" w:cs="Arial"/>
          <w:sz w:val="17"/>
          <w:szCs w:val="17"/>
          <w:lang w:val="en-US"/>
        </w:rPr>
      </w:pPr>
    </w:p>
    <w:sectPr w:rsidR="00D23D81" w:rsidRPr="004249B9" w:rsidSect="00F75CEE">
      <w:type w:val="continuous"/>
      <w:pgSz w:w="11906" w:h="16838"/>
      <w:pgMar w:top="680" w:right="851" w:bottom="851" w:left="851" w:header="284"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595" w:rsidRDefault="00125595" w:rsidP="008F0868">
      <w:pPr>
        <w:spacing w:after="0" w:line="240" w:lineRule="auto"/>
      </w:pPr>
      <w:r>
        <w:separator/>
      </w:r>
    </w:p>
  </w:endnote>
  <w:endnote w:type="continuationSeparator" w:id="0">
    <w:p w:rsidR="00125595" w:rsidRDefault="00125595" w:rsidP="008F0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4615436"/>
      <w:picture/>
    </w:sdtPr>
    <w:sdtEndPr/>
    <w:sdtContent>
      <w:p w:rsidR="000C18DD" w:rsidRDefault="00986555">
        <w:pPr>
          <w:pStyle w:val="Footer"/>
        </w:pPr>
        <w:r>
          <w:rPr>
            <w:noProof/>
            <w:lang w:val="fr-BE" w:eastAsia="ja-JP"/>
          </w:rPr>
          <w:drawing>
            <wp:inline distT="0" distB="0" distL="0" distR="0">
              <wp:extent cx="7199993" cy="396274"/>
              <wp:effectExtent l="0" t="0" r="1270" b="3810"/>
              <wp:docPr id="13" name="Afbeelding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199993" cy="396274"/>
                      </a:xfrm>
                      <a:prstGeom prst="rect">
                        <a:avLst/>
                      </a:prstGeom>
                      <a:noFill/>
                      <a:ln>
                        <a:noFill/>
                      </a:ln>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595" w:rsidRDefault="00125595" w:rsidP="008F0868">
      <w:pPr>
        <w:spacing w:after="0" w:line="240" w:lineRule="auto"/>
      </w:pPr>
      <w:r>
        <w:separator/>
      </w:r>
    </w:p>
  </w:footnote>
  <w:footnote w:type="continuationSeparator" w:id="0">
    <w:p w:rsidR="00125595" w:rsidRDefault="00125595" w:rsidP="008F08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7982866"/>
      <w:picture/>
    </w:sdtPr>
    <w:sdtEndPr/>
    <w:sdtContent>
      <w:p w:rsidR="00F75CEE" w:rsidRDefault="00405E0B">
        <w:pPr>
          <w:pStyle w:val="Header"/>
        </w:pPr>
        <w:r>
          <w:rPr>
            <w:noProof/>
            <w:lang w:val="fr-BE" w:eastAsia="ja-JP"/>
          </w:rPr>
          <w:drawing>
            <wp:inline distT="0" distB="0" distL="0" distR="0">
              <wp:extent cx="7199999" cy="2377645"/>
              <wp:effectExtent l="0" t="0" r="1270" b="381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199999" cy="2377645"/>
                      </a:xfrm>
                      <a:prstGeom prst="rect">
                        <a:avLst/>
                      </a:prstGeom>
                      <a:noFill/>
                      <a:ln>
                        <a:noFill/>
                      </a:ln>
                    </pic:spPr>
                  </pic:pic>
                </a:graphicData>
              </a:graphic>
            </wp:inline>
          </w:drawing>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753E2"/>
    <w:multiLevelType w:val="hybridMultilevel"/>
    <w:tmpl w:val="72F0F24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E71045E"/>
    <w:multiLevelType w:val="hybridMultilevel"/>
    <w:tmpl w:val="4F38A6D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19B4018"/>
    <w:multiLevelType w:val="hybridMultilevel"/>
    <w:tmpl w:val="3BA8EA9E"/>
    <w:lvl w:ilvl="0" w:tplc="63702818">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37FF70DF"/>
    <w:multiLevelType w:val="hybridMultilevel"/>
    <w:tmpl w:val="E28C9BD6"/>
    <w:lvl w:ilvl="0" w:tplc="080C0005">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4" w15:restartNumberingAfterBreak="0">
    <w:nsid w:val="3E051986"/>
    <w:multiLevelType w:val="hybridMultilevel"/>
    <w:tmpl w:val="E54E7DE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4B34F61"/>
    <w:multiLevelType w:val="hybridMultilevel"/>
    <w:tmpl w:val="006A5DFA"/>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6C767E6"/>
    <w:multiLevelType w:val="hybridMultilevel"/>
    <w:tmpl w:val="8318A35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868"/>
    <w:rsid w:val="00054FB2"/>
    <w:rsid w:val="00082633"/>
    <w:rsid w:val="000A2F42"/>
    <w:rsid w:val="000B1A47"/>
    <w:rsid w:val="000C18DD"/>
    <w:rsid w:val="000F715F"/>
    <w:rsid w:val="00125595"/>
    <w:rsid w:val="00151634"/>
    <w:rsid w:val="0016626A"/>
    <w:rsid w:val="002470AD"/>
    <w:rsid w:val="0027191C"/>
    <w:rsid w:val="002B360C"/>
    <w:rsid w:val="002C5DC9"/>
    <w:rsid w:val="00303304"/>
    <w:rsid w:val="0032112A"/>
    <w:rsid w:val="00343D78"/>
    <w:rsid w:val="00355836"/>
    <w:rsid w:val="003D0813"/>
    <w:rsid w:val="003E1D88"/>
    <w:rsid w:val="00405E0B"/>
    <w:rsid w:val="004249B9"/>
    <w:rsid w:val="004326B5"/>
    <w:rsid w:val="00645840"/>
    <w:rsid w:val="0068022C"/>
    <w:rsid w:val="00725966"/>
    <w:rsid w:val="007377AD"/>
    <w:rsid w:val="0076010F"/>
    <w:rsid w:val="007F5884"/>
    <w:rsid w:val="00800BFA"/>
    <w:rsid w:val="008B090C"/>
    <w:rsid w:val="008B0A44"/>
    <w:rsid w:val="008F0868"/>
    <w:rsid w:val="008F40D1"/>
    <w:rsid w:val="0095698D"/>
    <w:rsid w:val="00972D13"/>
    <w:rsid w:val="00986555"/>
    <w:rsid w:val="009A3F68"/>
    <w:rsid w:val="009C0B77"/>
    <w:rsid w:val="009C5BDB"/>
    <w:rsid w:val="009D06B2"/>
    <w:rsid w:val="009E0078"/>
    <w:rsid w:val="00A21E48"/>
    <w:rsid w:val="00A60A3C"/>
    <w:rsid w:val="00A84F43"/>
    <w:rsid w:val="00AB14B2"/>
    <w:rsid w:val="00AD2F0D"/>
    <w:rsid w:val="00AD5300"/>
    <w:rsid w:val="00BE20B5"/>
    <w:rsid w:val="00C161CE"/>
    <w:rsid w:val="00C16C8B"/>
    <w:rsid w:val="00C45557"/>
    <w:rsid w:val="00C47E6A"/>
    <w:rsid w:val="00C647D3"/>
    <w:rsid w:val="00C90D51"/>
    <w:rsid w:val="00C95EBF"/>
    <w:rsid w:val="00D23D81"/>
    <w:rsid w:val="00D51F03"/>
    <w:rsid w:val="00D63896"/>
    <w:rsid w:val="00D969D0"/>
    <w:rsid w:val="00E40AFA"/>
    <w:rsid w:val="00E54302"/>
    <w:rsid w:val="00E5496B"/>
    <w:rsid w:val="00EB22A5"/>
    <w:rsid w:val="00ED5743"/>
    <w:rsid w:val="00F047CC"/>
    <w:rsid w:val="00F46E06"/>
    <w:rsid w:val="00F6289C"/>
    <w:rsid w:val="00F75CEE"/>
    <w:rsid w:val="00F82E1B"/>
    <w:rsid w:val="00F90C3B"/>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73C2B1-9A97-477B-A3A3-0F7DAF53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8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8F0868"/>
  </w:style>
  <w:style w:type="paragraph" w:styleId="Footer">
    <w:name w:val="footer"/>
    <w:basedOn w:val="Normal"/>
    <w:link w:val="FooterChar"/>
    <w:uiPriority w:val="99"/>
    <w:unhideWhenUsed/>
    <w:rsid w:val="008F08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0868"/>
  </w:style>
  <w:style w:type="paragraph" w:styleId="ListParagraph">
    <w:name w:val="List Paragraph"/>
    <w:basedOn w:val="Normal"/>
    <w:uiPriority w:val="34"/>
    <w:qFormat/>
    <w:rsid w:val="00D23D81"/>
    <w:pPr>
      <w:ind w:left="720"/>
      <w:contextualSpacing/>
    </w:pPr>
  </w:style>
  <w:style w:type="table" w:styleId="TableGrid">
    <w:name w:val="Table Grid"/>
    <w:basedOn w:val="TableNormal"/>
    <w:uiPriority w:val="39"/>
    <w:rsid w:val="00D23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18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8DD"/>
    <w:rPr>
      <w:rFonts w:ascii="Segoe UI" w:hAnsi="Segoe UI" w:cs="Segoe UI"/>
      <w:sz w:val="18"/>
      <w:szCs w:val="18"/>
    </w:rPr>
  </w:style>
  <w:style w:type="paragraph" w:styleId="NoSpacing">
    <w:name w:val="No Spacing"/>
    <w:uiPriority w:val="1"/>
    <w:qFormat/>
    <w:rsid w:val="00F82E1B"/>
    <w:pPr>
      <w:spacing w:after="0" w:line="240" w:lineRule="auto"/>
    </w:pPr>
    <w:rPr>
      <w:rFonts w:eastAsiaTheme="minorEastAsia"/>
      <w:lang w:eastAsia="ja-JP"/>
    </w:rPr>
  </w:style>
  <w:style w:type="paragraph" w:styleId="BodyText">
    <w:name w:val="Body Text"/>
    <w:basedOn w:val="Normal"/>
    <w:link w:val="BodyTextChar"/>
    <w:uiPriority w:val="99"/>
    <w:unhideWhenUsed/>
    <w:rsid w:val="00C90D51"/>
    <w:pPr>
      <w:overflowPunct w:val="0"/>
      <w:autoSpaceDE w:val="0"/>
      <w:autoSpaceDN w:val="0"/>
      <w:adjustRightInd w:val="0"/>
      <w:spacing w:after="0" w:line="240" w:lineRule="auto"/>
      <w:ind w:right="1214"/>
    </w:pPr>
    <w:rPr>
      <w:rFonts w:ascii="Times New Roman" w:eastAsia="MS Mincho" w:hAnsi="Times New Roman" w:cs="Times New Roman"/>
      <w:sz w:val="24"/>
      <w:szCs w:val="20"/>
      <w:lang w:val="nl-NL"/>
    </w:rPr>
  </w:style>
  <w:style w:type="character" w:customStyle="1" w:styleId="BodyTextChar">
    <w:name w:val="Body Text Char"/>
    <w:basedOn w:val="DefaultParagraphFont"/>
    <w:link w:val="BodyText"/>
    <w:uiPriority w:val="99"/>
    <w:rsid w:val="00C90D51"/>
    <w:rPr>
      <w:rFonts w:ascii="Times New Roman" w:eastAsia="MS Mincho" w:hAnsi="Times New Roman" w:cs="Times New Roman"/>
      <w:sz w:val="24"/>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263</Words>
  <Characters>1450</Characters>
  <Application>Microsoft Office Word</Application>
  <DocSecurity>0</DocSecurity>
  <Lines>12</Lines>
  <Paragraphs>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jurgen@eeuwenaert.onmicrosoft.com</dc:creator>
  <cp:keywords/>
  <dc:description/>
  <cp:lastModifiedBy>Janssens Denis</cp:lastModifiedBy>
  <cp:revision>43</cp:revision>
  <cp:lastPrinted>2016-09-09T06:55:00Z</cp:lastPrinted>
  <dcterms:created xsi:type="dcterms:W3CDTF">2016-09-22T14:46:00Z</dcterms:created>
  <dcterms:modified xsi:type="dcterms:W3CDTF">2017-05-11T09:48:00Z</dcterms:modified>
</cp:coreProperties>
</file>